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666950" w:rsidRDefault="0081741E">
      <w:pPr>
        <w:pStyle w:val="Title"/>
        <w:rPr>
          <w:rFonts w:hint="cs"/>
          <w:color w:val="000000" w:themeColor="text1"/>
        </w:rPr>
      </w:pPr>
    </w:p>
    <w:p w:rsidR="0081741E" w:rsidRPr="00666950" w:rsidRDefault="0081741E">
      <w:pPr>
        <w:pStyle w:val="Title"/>
        <w:rPr>
          <w:color w:val="000000" w:themeColor="text1"/>
          <w:rtl/>
        </w:rPr>
      </w:pPr>
    </w:p>
    <w:p w:rsidR="0081741E" w:rsidRPr="00666950" w:rsidRDefault="0081741E">
      <w:pPr>
        <w:pStyle w:val="Title"/>
        <w:rPr>
          <w:color w:val="000000" w:themeColor="text1"/>
          <w:rtl/>
        </w:rPr>
      </w:pPr>
    </w:p>
    <w:p w:rsidR="0081741E" w:rsidRPr="00666950" w:rsidRDefault="0081741E">
      <w:pPr>
        <w:pStyle w:val="Title"/>
        <w:rPr>
          <w:color w:val="000000" w:themeColor="text1"/>
          <w:rtl/>
        </w:rPr>
      </w:pPr>
    </w:p>
    <w:p w:rsidR="0081741E" w:rsidRPr="00666950" w:rsidRDefault="0081741E">
      <w:pPr>
        <w:pStyle w:val="Title"/>
        <w:rPr>
          <w:color w:val="000000" w:themeColor="text1"/>
          <w:rtl/>
        </w:rPr>
      </w:pPr>
    </w:p>
    <w:p w:rsidR="0081741E" w:rsidRPr="00666950" w:rsidRDefault="0081741E">
      <w:pPr>
        <w:pStyle w:val="Title"/>
        <w:rPr>
          <w:color w:val="000000" w:themeColor="text1"/>
          <w:rtl/>
        </w:rPr>
      </w:pPr>
    </w:p>
    <w:p w:rsidR="0081741E" w:rsidRPr="00666950" w:rsidRDefault="0081741E">
      <w:pPr>
        <w:pStyle w:val="Title"/>
        <w:rPr>
          <w:color w:val="000000" w:themeColor="text1"/>
          <w:rtl/>
        </w:rPr>
      </w:pPr>
    </w:p>
    <w:p w:rsidR="0081741E" w:rsidRPr="00666950" w:rsidRDefault="0081741E">
      <w:pPr>
        <w:pStyle w:val="Title"/>
        <w:rPr>
          <w:color w:val="000000" w:themeColor="text1"/>
          <w:rtl/>
        </w:rPr>
      </w:pPr>
    </w:p>
    <w:p w:rsidR="0081741E" w:rsidRPr="00666950" w:rsidRDefault="0081741E">
      <w:pPr>
        <w:pStyle w:val="Title"/>
        <w:rPr>
          <w:color w:val="000000" w:themeColor="text1"/>
          <w:rtl/>
        </w:rPr>
      </w:pPr>
    </w:p>
    <w:p w:rsidR="0081741E" w:rsidRPr="00666950" w:rsidRDefault="0081741E">
      <w:pPr>
        <w:pStyle w:val="Title"/>
        <w:rPr>
          <w:color w:val="000000" w:themeColor="text1"/>
        </w:rPr>
      </w:pPr>
    </w:p>
    <w:p w:rsidR="0081741E" w:rsidRPr="00666950" w:rsidRDefault="0081741E">
      <w:pPr>
        <w:pStyle w:val="Title"/>
        <w:rPr>
          <w:color w:val="000000" w:themeColor="text1"/>
        </w:rPr>
      </w:pPr>
    </w:p>
    <w:p w:rsidR="0081741E" w:rsidRPr="00666950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666950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666950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2A1E5E" w:rsidRDefault="0081741E" w:rsidP="009B605F">
      <w:pPr>
        <w:pStyle w:val="Title"/>
        <w:rPr>
          <w:b w:val="0"/>
          <w:bCs w:val="0"/>
          <w:color w:val="000000" w:themeColor="text1"/>
          <w:rtl/>
        </w:rPr>
      </w:pPr>
      <w:r w:rsidRPr="002A1E5E">
        <w:rPr>
          <w:rFonts w:hint="eastAsia"/>
          <w:b w:val="0"/>
          <w:bCs w:val="0"/>
          <w:color w:val="000000" w:themeColor="text1"/>
          <w:rtl/>
        </w:rPr>
        <w:t>الفصل</w:t>
      </w:r>
      <w:r w:rsidRPr="002A1E5E">
        <w:rPr>
          <w:b w:val="0"/>
          <w:bCs w:val="0"/>
          <w:color w:val="000000" w:themeColor="text1"/>
          <w:rtl/>
        </w:rPr>
        <w:t xml:space="preserve"> </w:t>
      </w:r>
      <w:r w:rsidR="009B605F">
        <w:rPr>
          <w:rFonts w:hint="cs"/>
          <w:b w:val="0"/>
          <w:bCs w:val="0"/>
          <w:color w:val="000000" w:themeColor="text1"/>
          <w:rtl/>
        </w:rPr>
        <w:t>السابع</w:t>
      </w:r>
      <w:r w:rsidR="006416CA" w:rsidRPr="002A1E5E">
        <w:rPr>
          <w:rFonts w:hint="cs"/>
          <w:b w:val="0"/>
          <w:bCs w:val="0"/>
          <w:color w:val="000000" w:themeColor="text1"/>
          <w:rtl/>
        </w:rPr>
        <w:t xml:space="preserve"> عشر</w:t>
      </w:r>
    </w:p>
    <w:p w:rsidR="0081741E" w:rsidRPr="00666950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666950" w:rsidRDefault="006416CA">
      <w:pPr>
        <w:pStyle w:val="Heading7"/>
        <w:rPr>
          <w:color w:val="000000" w:themeColor="text1"/>
          <w:sz w:val="24"/>
          <w:szCs w:val="24"/>
          <w:rtl/>
        </w:rPr>
      </w:pPr>
      <w:r w:rsidRPr="00666950">
        <w:rPr>
          <w:rFonts w:hint="cs"/>
          <w:color w:val="000000" w:themeColor="text1"/>
          <w:sz w:val="24"/>
          <w:szCs w:val="24"/>
          <w:rtl/>
        </w:rPr>
        <w:t>الأسعار والارقام القياسية</w:t>
      </w:r>
    </w:p>
    <w:p w:rsidR="0081741E" w:rsidRPr="00666950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666950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666950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666950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66695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695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695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695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695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6950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666950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666950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666950" w:rsidRDefault="0081741E">
      <w:pPr>
        <w:rPr>
          <w:rFonts w:cs="Times New Roman"/>
          <w:color w:val="000000" w:themeColor="text1"/>
          <w:rtl/>
        </w:rPr>
      </w:pPr>
    </w:p>
    <w:p w:rsidR="0081741E" w:rsidRPr="00666950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666950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666950" w:rsidRDefault="0081741E">
      <w:pPr>
        <w:rPr>
          <w:rFonts w:cs="Times New Roman"/>
          <w:color w:val="000000" w:themeColor="text1"/>
          <w:rtl/>
        </w:rPr>
      </w:pPr>
    </w:p>
    <w:p w:rsidR="0081741E" w:rsidRPr="00666950" w:rsidRDefault="0081741E">
      <w:pPr>
        <w:rPr>
          <w:rFonts w:cs="Times New Roman"/>
          <w:color w:val="000000" w:themeColor="text1"/>
          <w:rtl/>
        </w:rPr>
      </w:pPr>
    </w:p>
    <w:p w:rsidR="00EA3A68" w:rsidRPr="00666950" w:rsidRDefault="00D776A5" w:rsidP="00EA3A68">
      <w:pPr>
        <w:ind w:left="-1"/>
        <w:jc w:val="lowKashida"/>
        <w:rPr>
          <w:rFonts w:cs="Simplified Arabic"/>
          <w:b/>
          <w:bCs/>
          <w:color w:val="000000" w:themeColor="text1"/>
          <w:rtl/>
        </w:rPr>
      </w:pPr>
      <w:r w:rsidRPr="00666950">
        <w:rPr>
          <w:rFonts w:cs="Simplified Arabic"/>
          <w:b/>
          <w:bCs/>
          <w:color w:val="000000" w:themeColor="text1"/>
          <w:rtl/>
        </w:rPr>
        <w:br w:type="page"/>
      </w:r>
      <w:r w:rsidR="00EA3A68" w:rsidRPr="00666950">
        <w:rPr>
          <w:rFonts w:cs="Simplified Arabic"/>
          <w:b/>
          <w:bCs/>
          <w:color w:val="000000" w:themeColor="text1"/>
          <w:rtl/>
        </w:rPr>
        <w:lastRenderedPageBreak/>
        <w:t>حركة أسعار المستهلك</w:t>
      </w:r>
    </w:p>
    <w:p w:rsidR="00F03230" w:rsidRPr="00666950" w:rsidRDefault="00F03230" w:rsidP="00DD6500">
      <w:pPr>
        <w:ind w:left="83"/>
        <w:jc w:val="lowKashida"/>
        <w:rPr>
          <w:rFonts w:cs="Simplified Arabic"/>
          <w:color w:val="000000" w:themeColor="text1"/>
          <w:rtl/>
        </w:rPr>
      </w:pPr>
      <w:r w:rsidRPr="00666950">
        <w:rPr>
          <w:rFonts w:cs="Simplified Arabic"/>
          <w:color w:val="000000" w:themeColor="text1"/>
          <w:rtl/>
        </w:rPr>
        <w:t xml:space="preserve">سجل </w:t>
      </w:r>
      <w:r w:rsidRPr="00666950">
        <w:rPr>
          <w:rFonts w:cs="Simplified Arabic" w:hint="cs"/>
          <w:color w:val="000000" w:themeColor="text1"/>
          <w:rtl/>
        </w:rPr>
        <w:t>الرقم القياسي لأسعار المستهلك</w:t>
      </w:r>
      <w:r w:rsidRPr="00666950">
        <w:rPr>
          <w:rFonts w:cs="Simplified Arabic"/>
          <w:color w:val="000000" w:themeColor="text1"/>
          <w:rtl/>
        </w:rPr>
        <w:t xml:space="preserve"> في</w:t>
      </w:r>
      <w:r w:rsidRPr="00666950">
        <w:rPr>
          <w:rFonts w:cs="Simplified Arabic" w:hint="cs"/>
          <w:color w:val="000000" w:themeColor="text1"/>
          <w:rtl/>
        </w:rPr>
        <w:t xml:space="preserve"> محافظة </w:t>
      </w:r>
      <w:r w:rsidRPr="00666950">
        <w:rPr>
          <w:rFonts w:cs="Simplified Arabic"/>
          <w:color w:val="000000" w:themeColor="text1"/>
          <w:rtl/>
        </w:rPr>
        <w:t>القدس</w:t>
      </w:r>
      <w:r w:rsidRPr="00666950">
        <w:rPr>
          <w:rFonts w:cs="Simplified Arabic" w:hint="cs"/>
          <w:color w:val="000000" w:themeColor="text1"/>
          <w:rtl/>
        </w:rPr>
        <w:t xml:space="preserve"> منطقة </w:t>
      </w:r>
      <w:r w:rsidRPr="00666950">
        <w:rPr>
          <w:rFonts w:cs="Simplified Arabic"/>
          <w:color w:val="000000" w:themeColor="text1"/>
        </w:rPr>
        <w:t>(J1)</w:t>
      </w:r>
      <w:r w:rsidRPr="00666950">
        <w:rPr>
          <w:rFonts w:cs="Simplified Arabic" w:hint="cs"/>
          <w:color w:val="000000" w:themeColor="text1"/>
          <w:rtl/>
        </w:rPr>
        <w:t xml:space="preserve"> عام 2017 ارتفاعاً نسبته 2.18% مقارنة بالعام 2016، بينما انخفض في عام 2016 بمقدار 0.96% مقارنة بالعام 2015. </w:t>
      </w:r>
    </w:p>
    <w:p w:rsidR="00EA3A68" w:rsidRPr="00666950" w:rsidRDefault="00EA3A68" w:rsidP="00EA3A68">
      <w:pPr>
        <w:ind w:left="83"/>
        <w:jc w:val="lowKashida"/>
        <w:rPr>
          <w:rFonts w:cs="Simplified Arabic"/>
          <w:color w:val="000000" w:themeColor="text1"/>
          <w:sz w:val="18"/>
          <w:szCs w:val="18"/>
          <w:rtl/>
        </w:rPr>
      </w:pPr>
    </w:p>
    <w:p w:rsidR="00EA3A68" w:rsidRPr="00666950" w:rsidRDefault="00EA3A68" w:rsidP="00014A0E">
      <w:pPr>
        <w:ind w:left="6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66695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الأرقام القياسية </w:t>
      </w:r>
      <w:r w:rsidR="0059457A" w:rsidRPr="00666950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الشهرية </w:t>
      </w:r>
      <w:r w:rsidRPr="0066695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لأسعار المستهلك في محافظة القدس منطقة (</w:t>
      </w:r>
      <w:r w:rsidRPr="0066695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="0059457A" w:rsidRPr="0066695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  <w:r w:rsidRPr="0066695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FA1BD9" w:rsidRPr="00666950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EA3A68" w:rsidRPr="00666950" w:rsidRDefault="0059457A" w:rsidP="00014A0E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66950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Monthly </w:t>
      </w:r>
      <w:r w:rsidR="00EA3A68" w:rsidRPr="00666950">
        <w:rPr>
          <w:rFonts w:ascii="Arial" w:hAnsi="Arial" w:cs="Arial"/>
          <w:b/>
          <w:bCs/>
          <w:color w:val="000000" w:themeColor="text1"/>
          <w:sz w:val="18"/>
          <w:szCs w:val="18"/>
        </w:rPr>
        <w:t>Consumer Price Index Numbers in Je</w:t>
      </w:r>
      <w:r w:rsidRPr="00666950">
        <w:rPr>
          <w:rFonts w:ascii="Arial" w:hAnsi="Arial" w:cs="Arial"/>
          <w:b/>
          <w:bCs/>
          <w:color w:val="000000" w:themeColor="text1"/>
          <w:sz w:val="18"/>
          <w:szCs w:val="18"/>
        </w:rPr>
        <w:t>rusalem Governorate Area (J1)</w:t>
      </w:r>
      <w:r w:rsidR="00EA3A68" w:rsidRPr="00666950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</w:t>
      </w:r>
      <w:r w:rsidR="00FA1BD9" w:rsidRPr="00666950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EA3A68" w:rsidRPr="00666950" w:rsidRDefault="00EA3A68" w:rsidP="00EA3A68">
      <w:pPr>
        <w:bidi w:val="0"/>
        <w:ind w:right="6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:rsidR="00EA3A68" w:rsidRPr="00666950" w:rsidRDefault="00EA3A68" w:rsidP="00F51EDF">
      <w:pPr>
        <w:ind w:left="81" w:right="-567"/>
        <w:rPr>
          <w:rFonts w:cs="Simplified Arabic"/>
          <w:color w:val="000000" w:themeColor="text1"/>
          <w:sz w:val="16"/>
          <w:szCs w:val="16"/>
          <w:rtl/>
        </w:rPr>
      </w:pPr>
      <w:r w:rsidRPr="00666950">
        <w:rPr>
          <w:rFonts w:cs="Simplified Arabic" w:hint="cs"/>
          <w:color w:val="000000" w:themeColor="text1"/>
          <w:sz w:val="16"/>
          <w:szCs w:val="16"/>
          <w:rtl/>
        </w:rPr>
        <w:t xml:space="preserve">   سنة الأساس 2010= 100                           </w:t>
      </w:r>
      <w:r w:rsidR="009F2C91" w:rsidRPr="00666950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666950">
        <w:rPr>
          <w:rFonts w:cs="Simplified Arabic" w:hint="cs"/>
          <w:color w:val="000000" w:themeColor="text1"/>
          <w:sz w:val="16"/>
          <w:szCs w:val="16"/>
          <w:rtl/>
        </w:rPr>
        <w:t xml:space="preserve">           </w:t>
      </w:r>
      <w:r w:rsidR="009F2C91" w:rsidRPr="00666950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</w:t>
      </w:r>
      <w:r w:rsidRPr="00666950">
        <w:rPr>
          <w:rFonts w:cs="Simplified Arabic" w:hint="cs"/>
          <w:color w:val="000000" w:themeColor="text1"/>
          <w:sz w:val="16"/>
          <w:szCs w:val="16"/>
          <w:rtl/>
        </w:rPr>
        <w:t xml:space="preserve">             </w:t>
      </w:r>
      <w:r w:rsidR="00F51EDF" w:rsidRPr="00666950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666950">
        <w:rPr>
          <w:rFonts w:cs="Simplified Arabic" w:hint="cs"/>
          <w:color w:val="000000" w:themeColor="text1"/>
          <w:sz w:val="16"/>
          <w:szCs w:val="16"/>
          <w:rtl/>
        </w:rPr>
        <w:t xml:space="preserve">          </w:t>
      </w:r>
      <w:r w:rsidR="000851A9">
        <w:rPr>
          <w:rFonts w:ascii="Arial" w:hAnsi="Arial" w:cs="Arial"/>
          <w:color w:val="000000" w:themeColor="text1"/>
          <w:sz w:val="16"/>
          <w:szCs w:val="16"/>
        </w:rPr>
        <w:t>Base</w:t>
      </w:r>
      <w:r w:rsidRPr="00666950">
        <w:rPr>
          <w:rFonts w:ascii="Arial" w:hAnsi="Arial" w:cs="Arial"/>
          <w:color w:val="000000" w:themeColor="text1"/>
          <w:sz w:val="16"/>
          <w:szCs w:val="16"/>
        </w:rPr>
        <w:t xml:space="preserve"> Year 2010=100</w:t>
      </w:r>
      <w:r w:rsidRPr="00666950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</w:t>
      </w:r>
    </w:p>
    <w:p w:rsidR="00783454" w:rsidRPr="00666950" w:rsidRDefault="00EA3A68" w:rsidP="009F2C91">
      <w:pPr>
        <w:ind w:left="-1"/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rtl/>
        </w:rPr>
      </w:pPr>
      <w:r w:rsidRPr="00666950">
        <w:rPr>
          <w:rFonts w:ascii="Simplified Arabic" w:hAnsi="Simplified Arabic" w:cs="Simplified Arabic"/>
          <w:b/>
          <w:bCs/>
          <w:color w:val="000000" w:themeColor="text1"/>
          <w:bdr w:val="single" w:sz="4" w:space="0" w:color="auto"/>
        </w:rPr>
        <w:drawing>
          <wp:inline distT="0" distB="0" distL="0" distR="0">
            <wp:extent cx="4637837" cy="274320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83454" w:rsidRPr="00666950" w:rsidRDefault="00783454" w:rsidP="009F2C91">
      <w:pPr>
        <w:ind w:left="-1"/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rtl/>
        </w:rPr>
      </w:pPr>
    </w:p>
    <w:p w:rsidR="00783454" w:rsidRPr="00666950" w:rsidRDefault="00783454" w:rsidP="009F2C91">
      <w:pPr>
        <w:ind w:left="-1"/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rtl/>
        </w:rPr>
      </w:pPr>
    </w:p>
    <w:p w:rsidR="00783454" w:rsidRPr="00666950" w:rsidRDefault="00783454">
      <w:pPr>
        <w:bidi w:val="0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 w:rsidRPr="0066695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br w:type="page"/>
      </w:r>
    </w:p>
    <w:p w:rsidR="00EA3A68" w:rsidRPr="00666950" w:rsidRDefault="00EA3A68" w:rsidP="00014A0E">
      <w:pPr>
        <w:ind w:left="-1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66695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lastRenderedPageBreak/>
        <w:t xml:space="preserve"> الأرقام القياسية ونسبة التغير السنوية </w:t>
      </w:r>
      <w:r w:rsidRPr="0066695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لأسعار </w:t>
      </w:r>
      <w:r w:rsidRPr="0066695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المستهلك حسب أقسام الإنفاق الرئيسية في محافظة </w:t>
      </w:r>
      <w:r w:rsidR="00A7632C" w:rsidRPr="0066695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القدس</w:t>
      </w:r>
      <w:r w:rsidRPr="0066695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EA3A68" w:rsidRPr="00666950" w:rsidRDefault="00EA3A68" w:rsidP="00FA1BD9">
      <w:pPr>
        <w:ind w:left="-284"/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 w:rsidRPr="0066695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             منطقة (</w:t>
      </w:r>
      <w:r w:rsidRPr="0066695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J1</w:t>
      </w:r>
      <w:r w:rsidRPr="0066695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)، </w:t>
      </w:r>
      <w:r w:rsidR="00FA1BD9" w:rsidRPr="00666950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2016</w:t>
      </w:r>
      <w:r w:rsidRPr="00666950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, </w:t>
      </w:r>
      <w:r w:rsidR="00FA1BD9" w:rsidRPr="00666950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2017</w:t>
      </w:r>
    </w:p>
    <w:p w:rsidR="00EA3A68" w:rsidRPr="00666950" w:rsidRDefault="00EA3A68" w:rsidP="00014A0E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</w:pPr>
      <w:r w:rsidRPr="00666950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>Yearly Consumer Price Index Numbers and Percent Change by Major Groups</w:t>
      </w:r>
      <w:r w:rsidR="000460C2" w:rsidRPr="00666950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of Expenditure</w:t>
      </w:r>
      <w:r w:rsidRPr="00666950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 in Jerusalem Governorate Area (J1), </w:t>
      </w:r>
      <w:r w:rsidR="00FA1BD9" w:rsidRPr="00666950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2016</w:t>
      </w:r>
      <w:r w:rsidRPr="00666950">
        <w:rPr>
          <w:rFonts w:ascii="Arial" w:hAnsi="Arial" w:cs="Arial"/>
          <w:b/>
          <w:bCs/>
          <w:snapToGrid w:val="0"/>
          <w:color w:val="000000" w:themeColor="text1"/>
          <w:sz w:val="18"/>
          <w:szCs w:val="18"/>
        </w:rPr>
        <w:t xml:space="preserve">, </w:t>
      </w:r>
      <w:r w:rsidR="00FA1BD9" w:rsidRPr="00666950">
        <w:rPr>
          <w:rFonts w:ascii="Arial" w:hAnsi="Arial" w:cs="Arial" w:hint="cs"/>
          <w:b/>
          <w:bCs/>
          <w:snapToGrid w:val="0"/>
          <w:color w:val="000000" w:themeColor="text1"/>
          <w:sz w:val="18"/>
          <w:szCs w:val="18"/>
          <w:rtl/>
        </w:rPr>
        <w:t>2017</w:t>
      </w:r>
    </w:p>
    <w:p w:rsidR="00EA3A68" w:rsidRPr="00666950" w:rsidRDefault="00EA3A68" w:rsidP="00EA3A68">
      <w:pPr>
        <w:bidi w:val="0"/>
        <w:jc w:val="center"/>
        <w:rPr>
          <w:rFonts w:ascii="Arial" w:hAnsi="Arial" w:cs="Arial"/>
          <w:b/>
          <w:bCs/>
          <w:snapToGrid w:val="0"/>
          <w:color w:val="000000" w:themeColor="text1"/>
          <w:sz w:val="12"/>
          <w:szCs w:val="12"/>
        </w:rPr>
      </w:pPr>
    </w:p>
    <w:tbl>
      <w:tblPr>
        <w:tblW w:w="7541" w:type="dxa"/>
        <w:jc w:val="center"/>
        <w:tblLayout w:type="fixed"/>
        <w:tblLook w:val="0000"/>
      </w:tblPr>
      <w:tblGrid>
        <w:gridCol w:w="32"/>
        <w:gridCol w:w="2932"/>
        <w:gridCol w:w="947"/>
        <w:gridCol w:w="807"/>
        <w:gridCol w:w="808"/>
        <w:gridCol w:w="2015"/>
      </w:tblGrid>
      <w:tr w:rsidR="00EA3A68" w:rsidRPr="0014155F" w:rsidTr="00014A0E">
        <w:trPr>
          <w:gridBefore w:val="1"/>
          <w:wBefore w:w="32" w:type="dxa"/>
          <w:trHeight w:val="312"/>
          <w:jc w:val="center"/>
        </w:trPr>
        <w:tc>
          <w:tcPr>
            <w:tcW w:w="3879" w:type="dxa"/>
            <w:gridSpan w:val="2"/>
            <w:vAlign w:val="center"/>
          </w:tcPr>
          <w:p w:rsidR="00EA3A68" w:rsidRPr="0014155F" w:rsidRDefault="00EA3A68" w:rsidP="002A1E5E">
            <w:pPr>
              <w:ind w:right="83"/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Base Year 2010= 100</w:t>
            </w:r>
          </w:p>
        </w:tc>
        <w:tc>
          <w:tcPr>
            <w:tcW w:w="3630" w:type="dxa"/>
            <w:gridSpan w:val="3"/>
            <w:vAlign w:val="center"/>
          </w:tcPr>
          <w:p w:rsidR="00EA3A68" w:rsidRPr="0014155F" w:rsidRDefault="00EA3A68" w:rsidP="002A1E5E">
            <w:pPr>
              <w:ind w:right="83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سنة الأساس</w:t>
            </w:r>
            <w:r w:rsidRPr="0014155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2010=100  </w:t>
            </w:r>
          </w:p>
        </w:tc>
      </w:tr>
      <w:tr w:rsidR="00FA1BD9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A1BD9" w:rsidRPr="0014155F" w:rsidRDefault="00FA1BD9" w:rsidP="002A1E5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Major Groups of Expenditure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A1BD9" w:rsidRPr="0014155F" w:rsidRDefault="00FA1BD9" w:rsidP="002A1E5E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14155F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نسبة التغير %</w:t>
            </w:r>
          </w:p>
          <w:p w:rsidR="00FA1BD9" w:rsidRPr="0014155F" w:rsidRDefault="00FA1BD9" w:rsidP="002A1E5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Percent Change %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A1BD9" w:rsidRPr="0014155F" w:rsidRDefault="00FA1BD9" w:rsidP="002A1E5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A1BD9" w:rsidRPr="0014155F" w:rsidRDefault="00FA1BD9" w:rsidP="002A1E5E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20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A1BD9" w:rsidRPr="0014155F" w:rsidRDefault="00FA1BD9" w:rsidP="002A1E5E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أقسام الإنفاق الرئيسية</w:t>
            </w:r>
          </w:p>
        </w:tc>
      </w:tr>
      <w:tr w:rsidR="006058D3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6058D3" w:rsidRPr="0014155F" w:rsidRDefault="006058D3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bookmarkStart w:id="0" w:name="_Hlk225139509"/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Food and soft drinks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0.84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110.76</w:t>
            </w:r>
          </w:p>
        </w:tc>
        <w:tc>
          <w:tcPr>
            <w:tcW w:w="808" w:type="dxa"/>
            <w:tcBorders>
              <w:top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2A1E5E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109.84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058D3" w:rsidRPr="0014155F" w:rsidRDefault="006058D3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المواد الغذائية والمشروبات المرطبة</w:t>
            </w:r>
          </w:p>
        </w:tc>
      </w:tr>
      <w:tr w:rsidR="006058D3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6058D3" w:rsidRPr="0014155F" w:rsidRDefault="006058D3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Alcoholic beverages and tobacco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1.93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175.74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6058D3" w:rsidRPr="0014155F" w:rsidRDefault="006058D3" w:rsidP="002A1E5E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172.41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058D3" w:rsidRPr="0014155F" w:rsidRDefault="006058D3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المشروبات الكحولية والتبغ</w:t>
            </w:r>
          </w:p>
        </w:tc>
      </w:tr>
      <w:tr w:rsidR="006058D3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6058D3" w:rsidRPr="0014155F" w:rsidRDefault="006058D3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Textiles, clothing and footwear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1.62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127.66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6058D3" w:rsidRPr="0014155F" w:rsidRDefault="006058D3" w:rsidP="002A1E5E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125.63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058D3" w:rsidRPr="0014155F" w:rsidRDefault="006058D3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الأقمشة والملابس والأحذية</w:t>
            </w:r>
          </w:p>
        </w:tc>
      </w:tr>
      <w:tr w:rsidR="006058D3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6058D3" w:rsidRPr="0014155F" w:rsidRDefault="006058D3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Housing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2.44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115.47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6058D3" w:rsidRPr="0014155F" w:rsidRDefault="006058D3" w:rsidP="002A1E5E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112.72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058D3" w:rsidRPr="0014155F" w:rsidRDefault="006058D3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المسكن ومستلزماته</w:t>
            </w:r>
          </w:p>
        </w:tc>
      </w:tr>
      <w:tr w:rsidR="006058D3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6058D3" w:rsidRPr="0014155F" w:rsidRDefault="006058D3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Furniture and household goods 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1.45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124.02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6058D3" w:rsidRPr="0014155F" w:rsidRDefault="006058D3" w:rsidP="002A1E5E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122.25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058D3" w:rsidRPr="0014155F" w:rsidRDefault="006058D3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الأثاث والمفروشات والسلع المنزلية</w:t>
            </w:r>
          </w:p>
        </w:tc>
      </w:tr>
      <w:tr w:rsidR="006058D3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6058D3" w:rsidRPr="0014155F" w:rsidRDefault="006058D3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Medical care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-2.07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118.17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6058D3" w:rsidRPr="0014155F" w:rsidRDefault="006058D3" w:rsidP="002A1E5E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120.68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058D3" w:rsidRPr="0014155F" w:rsidRDefault="006058D3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الخدمات الطبية</w:t>
            </w:r>
          </w:p>
        </w:tc>
      </w:tr>
      <w:tr w:rsidR="006058D3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6058D3" w:rsidRPr="0014155F" w:rsidRDefault="006058D3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0.96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107.83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6058D3" w:rsidRPr="0014155F" w:rsidRDefault="006058D3" w:rsidP="002A1E5E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106.81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058D3" w:rsidRPr="0014155F" w:rsidRDefault="006058D3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والمواصلات</w:t>
            </w:r>
          </w:p>
        </w:tc>
      </w:tr>
      <w:tr w:rsidR="006058D3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6058D3" w:rsidRPr="0014155F" w:rsidRDefault="006058D3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Communications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-0.11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96.95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6058D3" w:rsidRPr="0014155F" w:rsidRDefault="006058D3" w:rsidP="002A1E5E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97.06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058D3" w:rsidRPr="0014155F" w:rsidRDefault="006058D3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الاتصالات</w:t>
            </w:r>
          </w:p>
        </w:tc>
      </w:tr>
      <w:tr w:rsidR="006058D3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6058D3" w:rsidRPr="0014155F" w:rsidRDefault="006058D3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Recreational, cultural goods &amp; services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1.85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107.61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6058D3" w:rsidRPr="0014155F" w:rsidRDefault="006058D3" w:rsidP="002A1E5E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105.65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058D3" w:rsidRPr="0014155F" w:rsidRDefault="006058D3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الترفيهية والثقافية</w:t>
            </w:r>
          </w:p>
        </w:tc>
      </w:tr>
      <w:tr w:rsidR="006058D3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6058D3" w:rsidRPr="0014155F" w:rsidRDefault="006058D3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Education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5.64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129.79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6058D3" w:rsidRPr="0014155F" w:rsidRDefault="006058D3" w:rsidP="002A1E5E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122.85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058D3" w:rsidRPr="0014155F" w:rsidRDefault="006058D3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1415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التعليم</w:t>
            </w:r>
          </w:p>
        </w:tc>
      </w:tr>
      <w:tr w:rsidR="006058D3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6058D3" w:rsidRPr="0014155F" w:rsidRDefault="006058D3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Restaurants</w:t>
            </w:r>
            <w:r w:rsidR="000851A9">
              <w:rPr>
                <w:rFonts w:ascii="Arial" w:hAnsi="Arial" w:cs="Arial"/>
                <w:color w:val="000000" w:themeColor="text1"/>
                <w:sz w:val="16"/>
                <w:szCs w:val="16"/>
              </w:rPr>
              <w:t>, hotels</w:t>
            </w: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and cafes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3.01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119.53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6058D3" w:rsidRPr="0014155F" w:rsidRDefault="006058D3" w:rsidP="002A1E5E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116.04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058D3" w:rsidRPr="0014155F" w:rsidRDefault="006058D3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المطاعم والمقاهي والفنادق</w:t>
            </w:r>
          </w:p>
        </w:tc>
      </w:tr>
      <w:tr w:rsidR="006058D3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6058D3" w:rsidRPr="0014155F" w:rsidRDefault="006058D3" w:rsidP="00183EA1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Miscellaneous goods and services</w:t>
            </w:r>
          </w:p>
        </w:tc>
        <w:tc>
          <w:tcPr>
            <w:tcW w:w="947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7.07</w:t>
            </w:r>
          </w:p>
        </w:tc>
        <w:tc>
          <w:tcPr>
            <w:tcW w:w="807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110.59</w:t>
            </w:r>
          </w:p>
        </w:tc>
        <w:tc>
          <w:tcPr>
            <w:tcW w:w="808" w:type="dxa"/>
            <w:tcMar>
              <w:right w:w="28" w:type="dxa"/>
            </w:tcMar>
            <w:vAlign w:val="center"/>
          </w:tcPr>
          <w:p w:rsidR="006058D3" w:rsidRPr="0014155F" w:rsidRDefault="006058D3" w:rsidP="002A1E5E">
            <w:pPr>
              <w:bidi w:val="0"/>
              <w:ind w:right="9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color w:val="000000" w:themeColor="text1"/>
                <w:sz w:val="16"/>
                <w:szCs w:val="16"/>
              </w:rPr>
              <w:t>103.28</w:t>
            </w:r>
          </w:p>
        </w:tc>
        <w:tc>
          <w:tcPr>
            <w:tcW w:w="2015" w:type="dxa"/>
            <w:tcBorders>
              <w:left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6058D3" w:rsidRPr="0014155F" w:rsidRDefault="006058D3" w:rsidP="00183EA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المتنوعة</w:t>
            </w:r>
          </w:p>
        </w:tc>
      </w:tr>
      <w:tr w:rsidR="006058D3" w:rsidRPr="0014155F" w:rsidTr="00014A0E">
        <w:tblPrEx>
          <w:tblCellMar>
            <w:left w:w="30" w:type="dxa"/>
            <w:right w:w="30" w:type="dxa"/>
          </w:tblCellMar>
        </w:tblPrEx>
        <w:trPr>
          <w:trHeight w:val="312"/>
          <w:jc w:val="center"/>
        </w:trPr>
        <w:tc>
          <w:tcPr>
            <w:tcW w:w="2964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right w:w="284" w:type="dxa"/>
            </w:tcMar>
            <w:vAlign w:val="center"/>
          </w:tcPr>
          <w:p w:rsidR="006058D3" w:rsidRPr="0014155F" w:rsidRDefault="006058D3" w:rsidP="00183EA1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All Items of consumer price index</w:t>
            </w:r>
          </w:p>
        </w:tc>
        <w:tc>
          <w:tcPr>
            <w:tcW w:w="947" w:type="dxa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2.18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1415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115.39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6058D3" w:rsidRPr="0014155F" w:rsidRDefault="006058D3" w:rsidP="002A1E5E">
            <w:pPr>
              <w:bidi w:val="0"/>
              <w:ind w:right="96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112.93</w:t>
            </w:r>
          </w:p>
        </w:tc>
        <w:tc>
          <w:tcPr>
            <w:tcW w:w="201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right w:w="57" w:type="dxa"/>
            </w:tcMar>
            <w:vAlign w:val="center"/>
          </w:tcPr>
          <w:p w:rsidR="006058D3" w:rsidRPr="0014155F" w:rsidRDefault="006058D3" w:rsidP="00183EA1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4155F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الرقم القياسي العام لأسعار المستهلك</w:t>
            </w:r>
          </w:p>
        </w:tc>
      </w:tr>
      <w:bookmarkEnd w:id="0"/>
    </w:tbl>
    <w:p w:rsidR="00EA3A68" w:rsidRPr="00666950" w:rsidRDefault="00EA3A68" w:rsidP="00EA3A68">
      <w:pPr>
        <w:bidi w:val="0"/>
        <w:jc w:val="center"/>
        <w:rPr>
          <w:color w:val="000000" w:themeColor="text1"/>
        </w:rPr>
      </w:pPr>
    </w:p>
    <w:p w:rsidR="00EA3A68" w:rsidRPr="0066695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66695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66695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66695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66695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66695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66695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66695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66695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666950" w:rsidRDefault="00EA3A68" w:rsidP="00EA3A68">
      <w:pPr>
        <w:pStyle w:val="Header"/>
        <w:tabs>
          <w:tab w:val="clear" w:pos="4153"/>
          <w:tab w:val="clear" w:pos="8306"/>
        </w:tabs>
        <w:bidi w:val="0"/>
        <w:ind w:hanging="142"/>
        <w:jc w:val="right"/>
        <w:rPr>
          <w:rFonts w:ascii="Arial" w:hAnsi="Arial" w:cs="Arial"/>
          <w:b/>
          <w:bCs/>
          <w:color w:val="000000" w:themeColor="text1"/>
          <w:rtl/>
        </w:rPr>
      </w:pPr>
    </w:p>
    <w:p w:rsidR="00EA3A68" w:rsidRPr="00666950" w:rsidRDefault="00EA3A68" w:rsidP="00EA3A68">
      <w:pPr>
        <w:bidi w:val="0"/>
        <w:rPr>
          <w:rFonts w:ascii="Arial" w:hAnsi="Arial" w:cs="Arial"/>
          <w:b/>
          <w:bCs/>
          <w:color w:val="000000" w:themeColor="text1"/>
        </w:rPr>
      </w:pPr>
      <w:r w:rsidRPr="00666950">
        <w:rPr>
          <w:rFonts w:ascii="Arial" w:hAnsi="Arial" w:cs="Arial"/>
          <w:b/>
          <w:bCs/>
          <w:color w:val="000000" w:themeColor="text1"/>
        </w:rPr>
        <w:br w:type="page"/>
      </w:r>
    </w:p>
    <w:p w:rsidR="00EA3A68" w:rsidRPr="00666950" w:rsidRDefault="00EA3A68" w:rsidP="00EA3A6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66695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الأوزان المستخدمة في احتساب الرقم القياسي لأسعار المستهلك</w:t>
      </w:r>
      <w:r w:rsidRPr="0066695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66695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66695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أقسام الإنفاق الرئيسية و</w:t>
      </w:r>
      <w:r w:rsidRPr="0066695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المنطقة</w:t>
      </w:r>
      <w:r w:rsidRPr="0066695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، 2010 </w:t>
      </w:r>
    </w:p>
    <w:p w:rsidR="00EA3A68" w:rsidRPr="00666950" w:rsidRDefault="00EA3A68" w:rsidP="00EA3A68">
      <w:pPr>
        <w:pStyle w:val="BodyTextIndent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66950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Relative Weights Used in Calculating Consumer Price Index Numbers by Major Groups of Expenditure and Region, </w:t>
      </w:r>
      <w:r w:rsidRPr="00666950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2010</w:t>
      </w:r>
    </w:p>
    <w:p w:rsidR="00EA3A68" w:rsidRPr="00666950" w:rsidRDefault="00EA3A68" w:rsidP="00EA3A68">
      <w:pPr>
        <w:pStyle w:val="BodyTextIndent"/>
        <w:ind w:left="0" w:firstLine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22"/>
        <w:gridCol w:w="790"/>
        <w:gridCol w:w="875"/>
        <w:gridCol w:w="873"/>
        <w:gridCol w:w="926"/>
        <w:gridCol w:w="1885"/>
      </w:tblGrid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bottom w:val="single" w:sz="4" w:space="0" w:color="auto"/>
            </w:tcBorders>
            <w:vAlign w:val="center"/>
          </w:tcPr>
          <w:p w:rsidR="00EA3A68" w:rsidRPr="00DE5E96" w:rsidRDefault="00EA3A68" w:rsidP="00783454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E5E9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أقسام الإنفاق الرئيسية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DE5E96" w:rsidRDefault="00EA3A68" w:rsidP="00783454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E5E9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EA3A68" w:rsidRPr="00DE5E96" w:rsidRDefault="00EA3A68" w:rsidP="007834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DE5E96" w:rsidRDefault="00EA3A68" w:rsidP="005774CD">
            <w:pPr>
              <w:pStyle w:val="Heading3"/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DE5E9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="005774CD" w:rsidRPr="00DE5E9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West Bank</w:t>
            </w:r>
            <w:r w:rsidR="00A7632C"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DE5E96" w:rsidRDefault="00EA3A68" w:rsidP="00783454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E5E96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DE5E9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EA3A68" w:rsidRPr="00DE5E96" w:rsidRDefault="00EA3A68" w:rsidP="0078345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A68" w:rsidRPr="00DE5E96" w:rsidRDefault="00EA3A68" w:rsidP="00014A0E">
            <w:pPr>
              <w:pStyle w:val="Heading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DE5E9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القدس</w:t>
            </w:r>
            <w:r w:rsidR="00014A0E" w:rsidRPr="00DE5E9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014A0E" w:rsidRPr="00DE5E96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="00014A0E" w:rsidRPr="00DE5E96">
              <w:rPr>
                <w:rFonts w:ascii="Simplified Arabic" w:hAnsi="Simplified Arabic"/>
                <w:color w:val="000000" w:themeColor="text1"/>
                <w:sz w:val="16"/>
                <w:szCs w:val="16"/>
              </w:rPr>
              <w:t>J1</w:t>
            </w:r>
            <w:r w:rsidR="00014A0E" w:rsidRPr="00DE5E96">
              <w:rPr>
                <w:rFonts w:ascii="Simplified Arabic" w:hAnsi="Simplified Arabic"/>
                <w:snapToGrid w:val="0"/>
                <w:color w:val="000000" w:themeColor="text1"/>
                <w:sz w:val="16"/>
                <w:szCs w:val="16"/>
                <w:rtl/>
              </w:rPr>
              <w:t>)</w:t>
            </w:r>
          </w:p>
          <w:p w:rsidR="00EA3A68" w:rsidRPr="00DE5E96" w:rsidRDefault="00EA3A68" w:rsidP="00014A0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="00014A0E"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14A0E" w:rsidRPr="00DE5E9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center"/>
          </w:tcPr>
          <w:p w:rsidR="00EA3A68" w:rsidRPr="00DE5E96" w:rsidRDefault="00EA3A68" w:rsidP="0078345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Major Groups of Expenditure</w:t>
            </w:r>
          </w:p>
        </w:tc>
      </w:tr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المواد الغذائية والمشروبات المرطبة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35.0175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34.9556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41.1820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23.6719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Food and soft drinks</w:t>
            </w:r>
          </w:p>
        </w:tc>
      </w:tr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المشروبات الكحولية والتبغ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4.3089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5.2219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2.3220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4.0605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Alcoholic Beverages and tobacco</w:t>
            </w:r>
          </w:p>
        </w:tc>
      </w:tr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الأقمشة والملابس والأحذية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6.2857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5.7950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7.0944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6.9074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Textiles, clothing and footwear</w:t>
            </w:r>
          </w:p>
        </w:tc>
      </w:tr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المسكن ومستلزماته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8.8652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8.8268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8.7349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9.2789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Housing</w:t>
            </w:r>
          </w:p>
        </w:tc>
      </w:tr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الأثاث والمفروشات والسلع المنزلية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5.3590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4.8289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6.5546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5.4239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Furniture and household goods </w:t>
            </w:r>
          </w:p>
        </w:tc>
      </w:tr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DE5E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الخدمات الطبية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3.9328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4.4389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3.0826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3.3219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Medical care</w:t>
            </w:r>
          </w:p>
        </w:tc>
      </w:tr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والمواصلات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13.8281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15.3316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7.9311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18.3655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Transportation</w:t>
            </w:r>
          </w:p>
        </w:tc>
      </w:tr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الاتصالات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3.5508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3.4552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3.1687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4.6886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Communications</w:t>
            </w:r>
          </w:p>
        </w:tc>
      </w:tr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الترفيهية والثقافية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2.0673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1.7833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2.3937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2.6941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Recreational, cultural goods &amp; services</w:t>
            </w:r>
          </w:p>
        </w:tc>
      </w:tr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التعليم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3.3886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3.5926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3.3806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2.5117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Education</w:t>
            </w:r>
          </w:p>
        </w:tc>
      </w:tr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خدمات المطاعم والمقاهي والفنادق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1.9198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1.8566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1.6527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2.7000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Restaurants</w:t>
            </w:r>
            <w:r w:rsid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,hotels</w:t>
            </w: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and cafes</w:t>
            </w:r>
          </w:p>
        </w:tc>
      </w:tr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السلع والخدمات المتنوعة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11.4763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9.9135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12.5028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16.3756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3A68" w:rsidRPr="00DE5E96" w:rsidRDefault="00EA3A68" w:rsidP="0078345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color w:val="000000" w:themeColor="text1"/>
                <w:sz w:val="16"/>
                <w:szCs w:val="16"/>
              </w:rPr>
              <w:t>Miscellaneous goods and services</w:t>
            </w:r>
          </w:p>
        </w:tc>
      </w:tr>
      <w:tr w:rsidR="00EA3A68" w:rsidRPr="00DE5E96" w:rsidTr="00183EA1">
        <w:trPr>
          <w:trHeight w:val="312"/>
          <w:jc w:val="center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68" w:rsidRPr="00DE5E96" w:rsidRDefault="00EA3A68" w:rsidP="00783454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الرقم القياسي العام لأسعار المستهلك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</w:t>
            </w:r>
            <w:r w:rsidR="00A46E9D" w:rsidRPr="00DE5E9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100.0</w:t>
            </w:r>
            <w:r w:rsidR="00BE236B"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00</w:t>
            </w: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100.0</w:t>
            </w:r>
            <w:r w:rsidR="00BE236B"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00</w:t>
            </w: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A3A68" w:rsidRPr="00DE5E96" w:rsidRDefault="00EA3A68" w:rsidP="00783454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100.0</w:t>
            </w:r>
            <w:r w:rsidR="00BE236B"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00</w:t>
            </w: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68" w:rsidRPr="00DE5E96" w:rsidRDefault="00EA3A68" w:rsidP="00783454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5E9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All Items of consumer price index</w:t>
            </w:r>
          </w:p>
        </w:tc>
      </w:tr>
      <w:tr w:rsidR="00A7632C" w:rsidRPr="00DE5E96" w:rsidTr="00183E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none" w:sz="0" w:space="0" w:color="auto"/>
          </w:tblBorders>
        </w:tblPrEx>
        <w:trPr>
          <w:trHeight w:val="577"/>
          <w:jc w:val="center"/>
        </w:trPr>
        <w:tc>
          <w:tcPr>
            <w:tcW w:w="3689" w:type="dxa"/>
            <w:gridSpan w:val="3"/>
          </w:tcPr>
          <w:p w:rsidR="00A7632C" w:rsidRPr="00DE5E96" w:rsidRDefault="00A7632C" w:rsidP="002A1E5E">
            <w:pPr>
              <w:jc w:val="both"/>
              <w:rPr>
                <w:rFonts w:cs="Simplified Arabic"/>
                <w:noProof w:val="0"/>
                <w:color w:val="000000" w:themeColor="text1"/>
                <w:sz w:val="16"/>
                <w:szCs w:val="16"/>
              </w:rPr>
            </w:pPr>
            <w:r w:rsidRPr="00DE5E96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r w:rsidRPr="00DE5E96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682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632C" w:rsidRPr="00DE5E96" w:rsidRDefault="00A7632C" w:rsidP="002A1E5E">
            <w:pPr>
              <w:bidi w:val="0"/>
              <w:jc w:val="both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DE5E96">
              <w:rPr>
                <w:rFonts w:cs="Times New Roman"/>
                <w:color w:val="000000" w:themeColor="text1"/>
                <w:sz w:val="16"/>
                <w:szCs w:val="16"/>
              </w:rPr>
              <w:t xml:space="preserve">*Data exclude those parts of </w:t>
            </w:r>
            <w:r w:rsidR="00107302" w:rsidRPr="00DE5E96">
              <w:rPr>
                <w:rFonts w:cs="Times New Roman"/>
                <w:color w:val="000000" w:themeColor="text1"/>
                <w:sz w:val="16"/>
                <w:szCs w:val="16"/>
              </w:rPr>
              <w:t xml:space="preserve">Jerusalem governorate </w:t>
            </w:r>
            <w:r w:rsidRPr="00DE5E96">
              <w:rPr>
                <w:rFonts w:cs="Times New Roman"/>
                <w:color w:val="000000" w:themeColor="text1"/>
                <w:sz w:val="16"/>
                <w:szCs w:val="16"/>
              </w:rPr>
              <w:t>which were annexed by Israeli Occupation in 1967.</w:t>
            </w:r>
          </w:p>
        </w:tc>
      </w:tr>
    </w:tbl>
    <w:p w:rsidR="00A7632C" w:rsidRPr="00666950" w:rsidRDefault="00A7632C" w:rsidP="00A7632C">
      <w:pPr>
        <w:jc w:val="both"/>
        <w:rPr>
          <w:rFonts w:cs="Simplified Arabic"/>
          <w:color w:val="000000" w:themeColor="text1"/>
          <w:rtl/>
        </w:rPr>
      </w:pPr>
    </w:p>
    <w:p w:rsidR="00EA3A68" w:rsidRPr="00666950" w:rsidRDefault="00EA3A68" w:rsidP="00A7632C">
      <w:pPr>
        <w:jc w:val="center"/>
        <w:rPr>
          <w:rFonts w:cs="Simplified Arabic"/>
          <w:color w:val="000000" w:themeColor="text1"/>
          <w:rtl/>
        </w:rPr>
      </w:pPr>
    </w:p>
    <w:p w:rsidR="00EA3A68" w:rsidRPr="00666950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666950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666950" w:rsidRDefault="00EA3A68" w:rsidP="00EA3A68">
      <w:pPr>
        <w:bidi w:val="0"/>
        <w:rPr>
          <w:rFonts w:cs="Simplified Arabic"/>
          <w:color w:val="000000" w:themeColor="text1"/>
          <w:rtl/>
        </w:rPr>
      </w:pPr>
      <w:r w:rsidRPr="00666950">
        <w:rPr>
          <w:rFonts w:cs="Simplified Arabic"/>
          <w:color w:val="000000" w:themeColor="text1"/>
          <w:rtl/>
        </w:rPr>
        <w:br w:type="page"/>
      </w:r>
    </w:p>
    <w:p w:rsidR="00EA3A68" w:rsidRPr="00666950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666950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EA3A68" w:rsidRPr="00666950" w:rsidRDefault="00EA3A68" w:rsidP="00EA3A68">
      <w:pPr>
        <w:jc w:val="both"/>
        <w:rPr>
          <w:rFonts w:cs="Simplified Arabic"/>
          <w:color w:val="000000" w:themeColor="text1"/>
          <w:rtl/>
        </w:rPr>
      </w:pPr>
    </w:p>
    <w:p w:rsidR="00095F0A" w:rsidRPr="00666950" w:rsidRDefault="00095F0A" w:rsidP="00EA3A68">
      <w:pPr>
        <w:ind w:left="-1"/>
        <w:jc w:val="lowKashida"/>
        <w:rPr>
          <w:rFonts w:cs="Simplified Arabic"/>
          <w:color w:val="000000" w:themeColor="text1"/>
          <w:rtl/>
        </w:rPr>
      </w:pPr>
    </w:p>
    <w:sectPr w:rsidR="00095F0A" w:rsidRPr="00666950" w:rsidSect="003C347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37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7A8" w:rsidRDefault="00C917A8">
      <w:r>
        <w:separator/>
      </w:r>
    </w:p>
  </w:endnote>
  <w:endnote w:type="continuationSeparator" w:id="0">
    <w:p w:rsidR="00C917A8" w:rsidRDefault="00C91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E5E" w:rsidRDefault="0023593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A1E5E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2A1E5E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2A1E5E" w:rsidRDefault="002A1E5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E5E" w:rsidRDefault="0023593F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2A1E5E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C061E8">
      <w:rPr>
        <w:rStyle w:val="PageNumber"/>
        <w:rFonts w:cs="Times New Roman"/>
        <w:sz w:val="16"/>
        <w:szCs w:val="16"/>
        <w:rtl/>
      </w:rPr>
      <w:t>142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2A1E5E" w:rsidRDefault="002A1E5E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E5E" w:rsidRPr="00B71722" w:rsidRDefault="0023593F">
    <w:pPr>
      <w:pStyle w:val="Footer"/>
      <w:jc w:val="center"/>
      <w:rPr>
        <w:rFonts w:cs="Times New Roman"/>
        <w:sz w:val="16"/>
        <w:szCs w:val="16"/>
      </w:rPr>
    </w:pPr>
    <w:r w:rsidRPr="00B71722">
      <w:rPr>
        <w:rFonts w:cs="Times New Roman"/>
        <w:sz w:val="16"/>
        <w:szCs w:val="16"/>
      </w:rPr>
      <w:fldChar w:fldCharType="begin"/>
    </w:r>
    <w:r w:rsidR="002A1E5E" w:rsidRPr="00B71722">
      <w:rPr>
        <w:rFonts w:cs="Times New Roman"/>
        <w:sz w:val="16"/>
        <w:szCs w:val="16"/>
      </w:rPr>
      <w:instrText xml:space="preserve"> PAGE   \* MERGEFORMAT </w:instrText>
    </w:r>
    <w:r w:rsidRPr="00B71722">
      <w:rPr>
        <w:rFonts w:cs="Times New Roman"/>
        <w:sz w:val="16"/>
        <w:szCs w:val="16"/>
      </w:rPr>
      <w:fldChar w:fldCharType="separate"/>
    </w:r>
    <w:r w:rsidR="00C061E8">
      <w:rPr>
        <w:rFonts w:cs="Times New Roman"/>
        <w:sz w:val="16"/>
        <w:szCs w:val="16"/>
        <w:rtl/>
      </w:rPr>
      <w:t>137</w:t>
    </w:r>
    <w:r w:rsidRPr="00B71722">
      <w:rPr>
        <w:rFonts w:cs="Times New Roman"/>
        <w:sz w:val="16"/>
        <w:szCs w:val="16"/>
      </w:rPr>
      <w:fldChar w:fldCharType="end"/>
    </w:r>
  </w:p>
  <w:p w:rsidR="002A1E5E" w:rsidRDefault="002A1E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7A8" w:rsidRDefault="00C917A8">
      <w:r>
        <w:separator/>
      </w:r>
    </w:p>
  </w:footnote>
  <w:footnote w:type="continuationSeparator" w:id="0">
    <w:p w:rsidR="00C917A8" w:rsidRDefault="00C917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574" w:rsidRPr="00522BD3" w:rsidRDefault="00E72574" w:rsidP="00E72574">
    <w:pPr>
      <w:pStyle w:val="Header"/>
      <w:rPr>
        <w:rFonts w:ascii="Arial" w:hAnsi="Arial" w:cs="Arial"/>
        <w:sz w:val="16"/>
        <w:szCs w:val="12"/>
        <w:rtl/>
      </w:rPr>
    </w:pPr>
    <w:r w:rsidRPr="00522BD3">
      <w:rPr>
        <w:rFonts w:ascii="Arial" w:hAnsi="Arial" w:cs="Arial"/>
        <w:sz w:val="16"/>
        <w:szCs w:val="16"/>
      </w:rPr>
      <w:t>PCBS</w:t>
    </w:r>
    <w:r w:rsidRPr="00522BD3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 xml:space="preserve">2018                                                                   </w:t>
    </w:r>
    <w:r w:rsidRPr="00CE00C1">
      <w:rPr>
        <w:rFonts w:ascii="Arial" w:hAnsi="Arial" w:cs="Arial" w:hint="cs"/>
        <w:sz w:val="16"/>
        <w:szCs w:val="16"/>
        <w:rtl/>
      </w:rPr>
      <w:t>الأسعار</w:t>
    </w:r>
    <w:r>
      <w:rPr>
        <w:rFonts w:ascii="Arial" w:hAnsi="Arial" w:cs="Arial" w:hint="cs"/>
        <w:sz w:val="16"/>
        <w:szCs w:val="16"/>
        <w:rtl/>
      </w:rPr>
      <w:t xml:space="preserve"> والارقام القياسية</w:t>
    </w:r>
  </w:p>
  <w:p w:rsidR="002A1E5E" w:rsidRPr="00CE00C1" w:rsidRDefault="002A1E5E" w:rsidP="00CE00C1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E5E" w:rsidRPr="00522BD3" w:rsidRDefault="002A1E5E" w:rsidP="00C061E8">
    <w:pPr>
      <w:pStyle w:val="Header"/>
      <w:rPr>
        <w:rFonts w:ascii="Arial" w:hAnsi="Arial" w:cs="Arial"/>
        <w:sz w:val="16"/>
        <w:szCs w:val="12"/>
        <w:rtl/>
      </w:rPr>
    </w:pPr>
    <w:r w:rsidRPr="00522BD3">
      <w:rPr>
        <w:rFonts w:ascii="Arial" w:hAnsi="Arial" w:cs="Arial"/>
        <w:sz w:val="16"/>
        <w:szCs w:val="16"/>
      </w:rPr>
      <w:t>PCBS</w:t>
    </w:r>
    <w:r w:rsidRPr="00522BD3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 xml:space="preserve">2018                                                     </w:t>
    </w:r>
    <w:r w:rsidR="00C061E8">
      <w:rPr>
        <w:rFonts w:ascii="Arial" w:hAnsi="Arial" w:cs="Arial" w:hint="cs"/>
        <w:sz w:val="16"/>
        <w:szCs w:val="16"/>
        <w:rtl/>
      </w:rPr>
      <w:t xml:space="preserve">            </w:t>
    </w:r>
    <w:r>
      <w:rPr>
        <w:rFonts w:ascii="Arial" w:hAnsi="Arial" w:cs="Arial" w:hint="cs"/>
        <w:sz w:val="16"/>
        <w:szCs w:val="16"/>
        <w:rtl/>
      </w:rPr>
      <w:t xml:space="preserve">            </w:t>
    </w:r>
    <w:r w:rsidRPr="00CE00C1">
      <w:rPr>
        <w:rFonts w:ascii="Arial" w:hAnsi="Arial" w:cs="Arial" w:hint="cs"/>
        <w:sz w:val="16"/>
        <w:szCs w:val="16"/>
        <w:rtl/>
      </w:rPr>
      <w:t>الأسعار</w:t>
    </w:r>
    <w:r w:rsidR="007A24DF">
      <w:rPr>
        <w:rFonts w:ascii="Arial" w:hAnsi="Arial" w:cs="Arial" w:hint="cs"/>
        <w:sz w:val="16"/>
        <w:szCs w:val="16"/>
        <w:rtl/>
      </w:rPr>
      <w:t xml:space="preserve"> والارقام القياسية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0E68"/>
    <w:rsid w:val="00012000"/>
    <w:rsid w:val="00014A0E"/>
    <w:rsid w:val="000255C5"/>
    <w:rsid w:val="0002575F"/>
    <w:rsid w:val="00030C7F"/>
    <w:rsid w:val="00032071"/>
    <w:rsid w:val="000430E5"/>
    <w:rsid w:val="000460C2"/>
    <w:rsid w:val="00046D98"/>
    <w:rsid w:val="00047F22"/>
    <w:rsid w:val="00053782"/>
    <w:rsid w:val="00056A16"/>
    <w:rsid w:val="00057844"/>
    <w:rsid w:val="0006052A"/>
    <w:rsid w:val="00063E48"/>
    <w:rsid w:val="000737BC"/>
    <w:rsid w:val="00075810"/>
    <w:rsid w:val="00081082"/>
    <w:rsid w:val="00082DE1"/>
    <w:rsid w:val="00084D92"/>
    <w:rsid w:val="000851A9"/>
    <w:rsid w:val="00091CEC"/>
    <w:rsid w:val="00093196"/>
    <w:rsid w:val="00095F0A"/>
    <w:rsid w:val="000A12CE"/>
    <w:rsid w:val="000B4C2B"/>
    <w:rsid w:val="000B6DEA"/>
    <w:rsid w:val="000B71FD"/>
    <w:rsid w:val="000C0049"/>
    <w:rsid w:val="000C0288"/>
    <w:rsid w:val="000C151E"/>
    <w:rsid w:val="000C2BFF"/>
    <w:rsid w:val="000D02CA"/>
    <w:rsid w:val="000D1E58"/>
    <w:rsid w:val="000D1F97"/>
    <w:rsid w:val="000E2C4E"/>
    <w:rsid w:val="000E39AD"/>
    <w:rsid w:val="000E3FFC"/>
    <w:rsid w:val="000E51A2"/>
    <w:rsid w:val="000E649D"/>
    <w:rsid w:val="000F34F3"/>
    <w:rsid w:val="000F3C32"/>
    <w:rsid w:val="000F4030"/>
    <w:rsid w:val="000F4613"/>
    <w:rsid w:val="000F531B"/>
    <w:rsid w:val="000F6828"/>
    <w:rsid w:val="001010B3"/>
    <w:rsid w:val="001019F0"/>
    <w:rsid w:val="00107302"/>
    <w:rsid w:val="00110815"/>
    <w:rsid w:val="00111238"/>
    <w:rsid w:val="0011387E"/>
    <w:rsid w:val="00122556"/>
    <w:rsid w:val="00123651"/>
    <w:rsid w:val="001269B6"/>
    <w:rsid w:val="00137057"/>
    <w:rsid w:val="00140EE7"/>
    <w:rsid w:val="0014155F"/>
    <w:rsid w:val="0014318B"/>
    <w:rsid w:val="00144080"/>
    <w:rsid w:val="001462BF"/>
    <w:rsid w:val="0015177E"/>
    <w:rsid w:val="00156718"/>
    <w:rsid w:val="00160EAB"/>
    <w:rsid w:val="00162821"/>
    <w:rsid w:val="0017506B"/>
    <w:rsid w:val="00175ABA"/>
    <w:rsid w:val="00175F75"/>
    <w:rsid w:val="00183684"/>
    <w:rsid w:val="00183C31"/>
    <w:rsid w:val="00183EA1"/>
    <w:rsid w:val="00185835"/>
    <w:rsid w:val="001862E2"/>
    <w:rsid w:val="00186E54"/>
    <w:rsid w:val="00193EA2"/>
    <w:rsid w:val="001944FF"/>
    <w:rsid w:val="0019739F"/>
    <w:rsid w:val="001974F5"/>
    <w:rsid w:val="00197DB0"/>
    <w:rsid w:val="001A3144"/>
    <w:rsid w:val="001A5668"/>
    <w:rsid w:val="001A60AB"/>
    <w:rsid w:val="001A71CC"/>
    <w:rsid w:val="001B11A1"/>
    <w:rsid w:val="001B3ECC"/>
    <w:rsid w:val="001B5E9A"/>
    <w:rsid w:val="001C1420"/>
    <w:rsid w:val="001C48EC"/>
    <w:rsid w:val="001C752C"/>
    <w:rsid w:val="001D0A0A"/>
    <w:rsid w:val="001D2961"/>
    <w:rsid w:val="001D330A"/>
    <w:rsid w:val="001D3784"/>
    <w:rsid w:val="001E3252"/>
    <w:rsid w:val="001F01D3"/>
    <w:rsid w:val="001F1156"/>
    <w:rsid w:val="001F1520"/>
    <w:rsid w:val="001F3E23"/>
    <w:rsid w:val="001F43EB"/>
    <w:rsid w:val="001F6791"/>
    <w:rsid w:val="00200CF5"/>
    <w:rsid w:val="00202625"/>
    <w:rsid w:val="00202642"/>
    <w:rsid w:val="002051DE"/>
    <w:rsid w:val="00205748"/>
    <w:rsid w:val="00211576"/>
    <w:rsid w:val="00216557"/>
    <w:rsid w:val="002171E4"/>
    <w:rsid w:val="00222570"/>
    <w:rsid w:val="00223233"/>
    <w:rsid w:val="00223662"/>
    <w:rsid w:val="0022399C"/>
    <w:rsid w:val="00223F27"/>
    <w:rsid w:val="00224158"/>
    <w:rsid w:val="0023593F"/>
    <w:rsid w:val="0024225D"/>
    <w:rsid w:val="0024320E"/>
    <w:rsid w:val="0024553D"/>
    <w:rsid w:val="002539C0"/>
    <w:rsid w:val="002575BD"/>
    <w:rsid w:val="00261B53"/>
    <w:rsid w:val="00267A88"/>
    <w:rsid w:val="00271728"/>
    <w:rsid w:val="0027189E"/>
    <w:rsid w:val="0027200D"/>
    <w:rsid w:val="002729C9"/>
    <w:rsid w:val="00273090"/>
    <w:rsid w:val="002741AC"/>
    <w:rsid w:val="00282655"/>
    <w:rsid w:val="0028686D"/>
    <w:rsid w:val="0029278C"/>
    <w:rsid w:val="002A1E5E"/>
    <w:rsid w:val="002A3E58"/>
    <w:rsid w:val="002A509D"/>
    <w:rsid w:val="002A60BD"/>
    <w:rsid w:val="002B029B"/>
    <w:rsid w:val="002B0410"/>
    <w:rsid w:val="002B131C"/>
    <w:rsid w:val="002B1B18"/>
    <w:rsid w:val="002B2B19"/>
    <w:rsid w:val="002B38B2"/>
    <w:rsid w:val="002B79C9"/>
    <w:rsid w:val="002C41D6"/>
    <w:rsid w:val="002C7987"/>
    <w:rsid w:val="002D02C2"/>
    <w:rsid w:val="002D2BBD"/>
    <w:rsid w:val="002D3926"/>
    <w:rsid w:val="002D420A"/>
    <w:rsid w:val="002E0438"/>
    <w:rsid w:val="002E1803"/>
    <w:rsid w:val="002E3138"/>
    <w:rsid w:val="002F0FD3"/>
    <w:rsid w:val="002F3833"/>
    <w:rsid w:val="002F47AE"/>
    <w:rsid w:val="002F6B6B"/>
    <w:rsid w:val="0030198E"/>
    <w:rsid w:val="00301A10"/>
    <w:rsid w:val="003024C4"/>
    <w:rsid w:val="003044F8"/>
    <w:rsid w:val="0030660D"/>
    <w:rsid w:val="00307207"/>
    <w:rsid w:val="00313990"/>
    <w:rsid w:val="0032161B"/>
    <w:rsid w:val="00322309"/>
    <w:rsid w:val="0032267D"/>
    <w:rsid w:val="0032522B"/>
    <w:rsid w:val="003252AB"/>
    <w:rsid w:val="00330C3E"/>
    <w:rsid w:val="0033105F"/>
    <w:rsid w:val="0033183E"/>
    <w:rsid w:val="00332E2C"/>
    <w:rsid w:val="00332F2F"/>
    <w:rsid w:val="00334CCA"/>
    <w:rsid w:val="00337522"/>
    <w:rsid w:val="003421C8"/>
    <w:rsid w:val="003445F6"/>
    <w:rsid w:val="003475A0"/>
    <w:rsid w:val="003476BA"/>
    <w:rsid w:val="00353859"/>
    <w:rsid w:val="00355DD5"/>
    <w:rsid w:val="0036219D"/>
    <w:rsid w:val="003637EE"/>
    <w:rsid w:val="00363F35"/>
    <w:rsid w:val="00364AD1"/>
    <w:rsid w:val="0038231A"/>
    <w:rsid w:val="00384C4E"/>
    <w:rsid w:val="00387F74"/>
    <w:rsid w:val="00390F33"/>
    <w:rsid w:val="00392EC5"/>
    <w:rsid w:val="003964D8"/>
    <w:rsid w:val="003A647C"/>
    <w:rsid w:val="003B51CB"/>
    <w:rsid w:val="003C0AE3"/>
    <w:rsid w:val="003C1421"/>
    <w:rsid w:val="003C347C"/>
    <w:rsid w:val="003C34C3"/>
    <w:rsid w:val="003C555A"/>
    <w:rsid w:val="003C63AC"/>
    <w:rsid w:val="003C6650"/>
    <w:rsid w:val="003C6D43"/>
    <w:rsid w:val="003D596B"/>
    <w:rsid w:val="003D5DD8"/>
    <w:rsid w:val="003D71A4"/>
    <w:rsid w:val="003D71DC"/>
    <w:rsid w:val="003D7BF8"/>
    <w:rsid w:val="003E1D74"/>
    <w:rsid w:val="003E261A"/>
    <w:rsid w:val="003E2D39"/>
    <w:rsid w:val="003E5355"/>
    <w:rsid w:val="003E5637"/>
    <w:rsid w:val="003E58EF"/>
    <w:rsid w:val="003E6735"/>
    <w:rsid w:val="003F088C"/>
    <w:rsid w:val="003F0E68"/>
    <w:rsid w:val="003F1FEB"/>
    <w:rsid w:val="003F4BB5"/>
    <w:rsid w:val="003F6451"/>
    <w:rsid w:val="003F6552"/>
    <w:rsid w:val="00414BD9"/>
    <w:rsid w:val="004221AB"/>
    <w:rsid w:val="00430986"/>
    <w:rsid w:val="00430B8E"/>
    <w:rsid w:val="004413EF"/>
    <w:rsid w:val="004440B0"/>
    <w:rsid w:val="00447D68"/>
    <w:rsid w:val="00451615"/>
    <w:rsid w:val="0045241C"/>
    <w:rsid w:val="0046115A"/>
    <w:rsid w:val="004640A5"/>
    <w:rsid w:val="00465E6D"/>
    <w:rsid w:val="004672EC"/>
    <w:rsid w:val="0047040C"/>
    <w:rsid w:val="00470880"/>
    <w:rsid w:val="00470E12"/>
    <w:rsid w:val="004741C0"/>
    <w:rsid w:val="00475F10"/>
    <w:rsid w:val="00481097"/>
    <w:rsid w:val="0048506B"/>
    <w:rsid w:val="004870D5"/>
    <w:rsid w:val="004877E6"/>
    <w:rsid w:val="004903BD"/>
    <w:rsid w:val="00492B86"/>
    <w:rsid w:val="004932E1"/>
    <w:rsid w:val="00495329"/>
    <w:rsid w:val="0049588F"/>
    <w:rsid w:val="004A4612"/>
    <w:rsid w:val="004C11A6"/>
    <w:rsid w:val="004C2970"/>
    <w:rsid w:val="004D1458"/>
    <w:rsid w:val="004D1C9A"/>
    <w:rsid w:val="004D4FB5"/>
    <w:rsid w:val="004D5AD3"/>
    <w:rsid w:val="004E423E"/>
    <w:rsid w:val="004F0A93"/>
    <w:rsid w:val="00502D5C"/>
    <w:rsid w:val="005032C4"/>
    <w:rsid w:val="005061C9"/>
    <w:rsid w:val="0050736E"/>
    <w:rsid w:val="00510E3E"/>
    <w:rsid w:val="00513615"/>
    <w:rsid w:val="005137F8"/>
    <w:rsid w:val="00513D39"/>
    <w:rsid w:val="00514565"/>
    <w:rsid w:val="005226F6"/>
    <w:rsid w:val="00522BD3"/>
    <w:rsid w:val="00527074"/>
    <w:rsid w:val="005307E9"/>
    <w:rsid w:val="00532F68"/>
    <w:rsid w:val="00537971"/>
    <w:rsid w:val="00540154"/>
    <w:rsid w:val="0054113A"/>
    <w:rsid w:val="00542F04"/>
    <w:rsid w:val="0057220A"/>
    <w:rsid w:val="005774CD"/>
    <w:rsid w:val="00577B19"/>
    <w:rsid w:val="005803D4"/>
    <w:rsid w:val="00582D34"/>
    <w:rsid w:val="00584026"/>
    <w:rsid w:val="00585507"/>
    <w:rsid w:val="00586240"/>
    <w:rsid w:val="00592D23"/>
    <w:rsid w:val="00593600"/>
    <w:rsid w:val="0059457A"/>
    <w:rsid w:val="005A0169"/>
    <w:rsid w:val="005A1A89"/>
    <w:rsid w:val="005A2607"/>
    <w:rsid w:val="005A3D91"/>
    <w:rsid w:val="005A7B4E"/>
    <w:rsid w:val="005B291D"/>
    <w:rsid w:val="005B34AE"/>
    <w:rsid w:val="005B38D8"/>
    <w:rsid w:val="005B52E8"/>
    <w:rsid w:val="005B6D8F"/>
    <w:rsid w:val="005C03F1"/>
    <w:rsid w:val="005C7483"/>
    <w:rsid w:val="005E0D3D"/>
    <w:rsid w:val="005E2C07"/>
    <w:rsid w:val="005F7F2D"/>
    <w:rsid w:val="00601BD2"/>
    <w:rsid w:val="00601FFB"/>
    <w:rsid w:val="00602194"/>
    <w:rsid w:val="00602F20"/>
    <w:rsid w:val="00604BF2"/>
    <w:rsid w:val="0060565F"/>
    <w:rsid w:val="006058D3"/>
    <w:rsid w:val="00605F33"/>
    <w:rsid w:val="00607FD2"/>
    <w:rsid w:val="006109B7"/>
    <w:rsid w:val="0061129C"/>
    <w:rsid w:val="006219B8"/>
    <w:rsid w:val="00623DAA"/>
    <w:rsid w:val="00625B63"/>
    <w:rsid w:val="0063468F"/>
    <w:rsid w:val="00635B36"/>
    <w:rsid w:val="00635DA1"/>
    <w:rsid w:val="006416CA"/>
    <w:rsid w:val="00646AE4"/>
    <w:rsid w:val="00651E41"/>
    <w:rsid w:val="00654650"/>
    <w:rsid w:val="006600C9"/>
    <w:rsid w:val="00662A53"/>
    <w:rsid w:val="00662CB1"/>
    <w:rsid w:val="00666950"/>
    <w:rsid w:val="00671206"/>
    <w:rsid w:val="00680D22"/>
    <w:rsid w:val="00681E32"/>
    <w:rsid w:val="00687BF3"/>
    <w:rsid w:val="00690FD8"/>
    <w:rsid w:val="006951E4"/>
    <w:rsid w:val="006A0F1D"/>
    <w:rsid w:val="006A17C8"/>
    <w:rsid w:val="006C4971"/>
    <w:rsid w:val="006C587E"/>
    <w:rsid w:val="006D0139"/>
    <w:rsid w:val="006D21AB"/>
    <w:rsid w:val="006D3677"/>
    <w:rsid w:val="006D6E3D"/>
    <w:rsid w:val="006E0F25"/>
    <w:rsid w:val="006E29F3"/>
    <w:rsid w:val="006E7177"/>
    <w:rsid w:val="006F7E6D"/>
    <w:rsid w:val="007009C5"/>
    <w:rsid w:val="00705180"/>
    <w:rsid w:val="00710A5B"/>
    <w:rsid w:val="00712984"/>
    <w:rsid w:val="00713317"/>
    <w:rsid w:val="0071450B"/>
    <w:rsid w:val="00716037"/>
    <w:rsid w:val="00716F29"/>
    <w:rsid w:val="0071757D"/>
    <w:rsid w:val="00720A4E"/>
    <w:rsid w:val="00720E7E"/>
    <w:rsid w:val="0072266E"/>
    <w:rsid w:val="00724713"/>
    <w:rsid w:val="00730F12"/>
    <w:rsid w:val="0073691D"/>
    <w:rsid w:val="00745A8B"/>
    <w:rsid w:val="00757053"/>
    <w:rsid w:val="007611A9"/>
    <w:rsid w:val="00766565"/>
    <w:rsid w:val="00766A2D"/>
    <w:rsid w:val="00770183"/>
    <w:rsid w:val="007743F0"/>
    <w:rsid w:val="00775F8C"/>
    <w:rsid w:val="00783454"/>
    <w:rsid w:val="007873F5"/>
    <w:rsid w:val="00787878"/>
    <w:rsid w:val="0079225F"/>
    <w:rsid w:val="00794240"/>
    <w:rsid w:val="0079629F"/>
    <w:rsid w:val="00797373"/>
    <w:rsid w:val="00797B49"/>
    <w:rsid w:val="007A24DF"/>
    <w:rsid w:val="007A570D"/>
    <w:rsid w:val="007A749E"/>
    <w:rsid w:val="007B014E"/>
    <w:rsid w:val="007B14DF"/>
    <w:rsid w:val="007B297C"/>
    <w:rsid w:val="007B3A57"/>
    <w:rsid w:val="007B7C42"/>
    <w:rsid w:val="007C688B"/>
    <w:rsid w:val="007D1478"/>
    <w:rsid w:val="007D63F1"/>
    <w:rsid w:val="007D68D3"/>
    <w:rsid w:val="007E1E91"/>
    <w:rsid w:val="007E5EF3"/>
    <w:rsid w:val="007E72D9"/>
    <w:rsid w:val="007F1229"/>
    <w:rsid w:val="00800345"/>
    <w:rsid w:val="008027A0"/>
    <w:rsid w:val="00804177"/>
    <w:rsid w:val="0080574B"/>
    <w:rsid w:val="00810580"/>
    <w:rsid w:val="00813955"/>
    <w:rsid w:val="0081741E"/>
    <w:rsid w:val="00817ABB"/>
    <w:rsid w:val="00820D70"/>
    <w:rsid w:val="0082173B"/>
    <w:rsid w:val="00823D4F"/>
    <w:rsid w:val="00831520"/>
    <w:rsid w:val="00832EB3"/>
    <w:rsid w:val="00840216"/>
    <w:rsid w:val="008420A9"/>
    <w:rsid w:val="008440CF"/>
    <w:rsid w:val="00847B79"/>
    <w:rsid w:val="008543F5"/>
    <w:rsid w:val="00855DD8"/>
    <w:rsid w:val="008633E0"/>
    <w:rsid w:val="00873542"/>
    <w:rsid w:val="00874240"/>
    <w:rsid w:val="0087460E"/>
    <w:rsid w:val="00875F5E"/>
    <w:rsid w:val="0087797D"/>
    <w:rsid w:val="008805AC"/>
    <w:rsid w:val="008805C4"/>
    <w:rsid w:val="00881844"/>
    <w:rsid w:val="00886BC8"/>
    <w:rsid w:val="00890F01"/>
    <w:rsid w:val="00894D35"/>
    <w:rsid w:val="00894E31"/>
    <w:rsid w:val="008A1F37"/>
    <w:rsid w:val="008A211C"/>
    <w:rsid w:val="008B698B"/>
    <w:rsid w:val="008C4461"/>
    <w:rsid w:val="008C66E9"/>
    <w:rsid w:val="008E62ED"/>
    <w:rsid w:val="008F252B"/>
    <w:rsid w:val="008F63EC"/>
    <w:rsid w:val="008F71F1"/>
    <w:rsid w:val="008F73B1"/>
    <w:rsid w:val="008F7DC5"/>
    <w:rsid w:val="009045E0"/>
    <w:rsid w:val="00904BB0"/>
    <w:rsid w:val="00905418"/>
    <w:rsid w:val="00905427"/>
    <w:rsid w:val="009079C3"/>
    <w:rsid w:val="00907D32"/>
    <w:rsid w:val="00911315"/>
    <w:rsid w:val="0091237F"/>
    <w:rsid w:val="00914F8C"/>
    <w:rsid w:val="00915BC2"/>
    <w:rsid w:val="009233D9"/>
    <w:rsid w:val="009332F2"/>
    <w:rsid w:val="00940B28"/>
    <w:rsid w:val="00941DAF"/>
    <w:rsid w:val="00942F04"/>
    <w:rsid w:val="009440C9"/>
    <w:rsid w:val="00952E4C"/>
    <w:rsid w:val="00955C11"/>
    <w:rsid w:val="009614E6"/>
    <w:rsid w:val="0096159E"/>
    <w:rsid w:val="00972B6C"/>
    <w:rsid w:val="00976AA3"/>
    <w:rsid w:val="0097711C"/>
    <w:rsid w:val="00980D68"/>
    <w:rsid w:val="009839CB"/>
    <w:rsid w:val="0098475D"/>
    <w:rsid w:val="00985AC6"/>
    <w:rsid w:val="00991C99"/>
    <w:rsid w:val="00993289"/>
    <w:rsid w:val="00997849"/>
    <w:rsid w:val="009A6671"/>
    <w:rsid w:val="009B13EA"/>
    <w:rsid w:val="009B2E89"/>
    <w:rsid w:val="009B605F"/>
    <w:rsid w:val="009D40CD"/>
    <w:rsid w:val="009D66CB"/>
    <w:rsid w:val="009D7441"/>
    <w:rsid w:val="009E2944"/>
    <w:rsid w:val="009E34ED"/>
    <w:rsid w:val="009E780E"/>
    <w:rsid w:val="009F1263"/>
    <w:rsid w:val="009F2C91"/>
    <w:rsid w:val="009F4D28"/>
    <w:rsid w:val="009F51C7"/>
    <w:rsid w:val="009F6EAF"/>
    <w:rsid w:val="00A0254B"/>
    <w:rsid w:val="00A07C2C"/>
    <w:rsid w:val="00A12B49"/>
    <w:rsid w:val="00A13D33"/>
    <w:rsid w:val="00A14EAC"/>
    <w:rsid w:val="00A17479"/>
    <w:rsid w:val="00A17645"/>
    <w:rsid w:val="00A202DD"/>
    <w:rsid w:val="00A2103F"/>
    <w:rsid w:val="00A22285"/>
    <w:rsid w:val="00A2588A"/>
    <w:rsid w:val="00A312D8"/>
    <w:rsid w:val="00A32130"/>
    <w:rsid w:val="00A330BB"/>
    <w:rsid w:val="00A34302"/>
    <w:rsid w:val="00A368F2"/>
    <w:rsid w:val="00A40F88"/>
    <w:rsid w:val="00A44AA8"/>
    <w:rsid w:val="00A467AD"/>
    <w:rsid w:val="00A46E9D"/>
    <w:rsid w:val="00A50326"/>
    <w:rsid w:val="00A51E6B"/>
    <w:rsid w:val="00A55EB4"/>
    <w:rsid w:val="00A57BF1"/>
    <w:rsid w:val="00A66A8D"/>
    <w:rsid w:val="00A715C7"/>
    <w:rsid w:val="00A71F4E"/>
    <w:rsid w:val="00A74583"/>
    <w:rsid w:val="00A7632C"/>
    <w:rsid w:val="00A83AC9"/>
    <w:rsid w:val="00A85621"/>
    <w:rsid w:val="00A95385"/>
    <w:rsid w:val="00A95509"/>
    <w:rsid w:val="00A95844"/>
    <w:rsid w:val="00AA0063"/>
    <w:rsid w:val="00AB276F"/>
    <w:rsid w:val="00AB5701"/>
    <w:rsid w:val="00AB77A1"/>
    <w:rsid w:val="00AC3EA0"/>
    <w:rsid w:val="00AC577A"/>
    <w:rsid w:val="00AC5EFF"/>
    <w:rsid w:val="00AE00D1"/>
    <w:rsid w:val="00AE7E50"/>
    <w:rsid w:val="00AF5156"/>
    <w:rsid w:val="00AF5D17"/>
    <w:rsid w:val="00B0406F"/>
    <w:rsid w:val="00B05E1F"/>
    <w:rsid w:val="00B078AF"/>
    <w:rsid w:val="00B12DD0"/>
    <w:rsid w:val="00B16149"/>
    <w:rsid w:val="00B2104E"/>
    <w:rsid w:val="00B27128"/>
    <w:rsid w:val="00B277A3"/>
    <w:rsid w:val="00B34B6F"/>
    <w:rsid w:val="00B35DF6"/>
    <w:rsid w:val="00B365C4"/>
    <w:rsid w:val="00B37BA4"/>
    <w:rsid w:val="00B41B3A"/>
    <w:rsid w:val="00B44162"/>
    <w:rsid w:val="00B46AD6"/>
    <w:rsid w:val="00B52A57"/>
    <w:rsid w:val="00B52D95"/>
    <w:rsid w:val="00B5424F"/>
    <w:rsid w:val="00B65739"/>
    <w:rsid w:val="00B65CD7"/>
    <w:rsid w:val="00B66897"/>
    <w:rsid w:val="00B66AA1"/>
    <w:rsid w:val="00B67160"/>
    <w:rsid w:val="00B701CE"/>
    <w:rsid w:val="00B709E2"/>
    <w:rsid w:val="00B71722"/>
    <w:rsid w:val="00B71F8B"/>
    <w:rsid w:val="00B72425"/>
    <w:rsid w:val="00B84399"/>
    <w:rsid w:val="00B85D34"/>
    <w:rsid w:val="00B87FA2"/>
    <w:rsid w:val="00B93B91"/>
    <w:rsid w:val="00B964B4"/>
    <w:rsid w:val="00B9679C"/>
    <w:rsid w:val="00BA0027"/>
    <w:rsid w:val="00BA1C33"/>
    <w:rsid w:val="00BA56B1"/>
    <w:rsid w:val="00BA6FB3"/>
    <w:rsid w:val="00BB0178"/>
    <w:rsid w:val="00BB761D"/>
    <w:rsid w:val="00BC2652"/>
    <w:rsid w:val="00BC2E4B"/>
    <w:rsid w:val="00BC2EED"/>
    <w:rsid w:val="00BC58AA"/>
    <w:rsid w:val="00BC69F5"/>
    <w:rsid w:val="00BD15CE"/>
    <w:rsid w:val="00BD569D"/>
    <w:rsid w:val="00BD5F4D"/>
    <w:rsid w:val="00BD772D"/>
    <w:rsid w:val="00BE0DC4"/>
    <w:rsid w:val="00BE10F5"/>
    <w:rsid w:val="00BE236B"/>
    <w:rsid w:val="00BE25A3"/>
    <w:rsid w:val="00BE583C"/>
    <w:rsid w:val="00BE6404"/>
    <w:rsid w:val="00BF5673"/>
    <w:rsid w:val="00C02985"/>
    <w:rsid w:val="00C038A8"/>
    <w:rsid w:val="00C061E8"/>
    <w:rsid w:val="00C06247"/>
    <w:rsid w:val="00C06C6F"/>
    <w:rsid w:val="00C106AB"/>
    <w:rsid w:val="00C1133B"/>
    <w:rsid w:val="00C1172C"/>
    <w:rsid w:val="00C11A99"/>
    <w:rsid w:val="00C1350F"/>
    <w:rsid w:val="00C155E3"/>
    <w:rsid w:val="00C1711F"/>
    <w:rsid w:val="00C17997"/>
    <w:rsid w:val="00C202F1"/>
    <w:rsid w:val="00C303DA"/>
    <w:rsid w:val="00C3100B"/>
    <w:rsid w:val="00C3287C"/>
    <w:rsid w:val="00C3296D"/>
    <w:rsid w:val="00C32E61"/>
    <w:rsid w:val="00C41240"/>
    <w:rsid w:val="00C436AE"/>
    <w:rsid w:val="00C43A0B"/>
    <w:rsid w:val="00C442DF"/>
    <w:rsid w:val="00C51CD1"/>
    <w:rsid w:val="00C6023A"/>
    <w:rsid w:val="00C60FCC"/>
    <w:rsid w:val="00C72350"/>
    <w:rsid w:val="00C73F81"/>
    <w:rsid w:val="00C762B0"/>
    <w:rsid w:val="00C855C0"/>
    <w:rsid w:val="00C87E01"/>
    <w:rsid w:val="00C917A8"/>
    <w:rsid w:val="00C92C45"/>
    <w:rsid w:val="00C934E0"/>
    <w:rsid w:val="00C937F7"/>
    <w:rsid w:val="00CA0990"/>
    <w:rsid w:val="00CA2080"/>
    <w:rsid w:val="00CA24F4"/>
    <w:rsid w:val="00CA46B2"/>
    <w:rsid w:val="00CA4A9F"/>
    <w:rsid w:val="00CA539F"/>
    <w:rsid w:val="00CB2918"/>
    <w:rsid w:val="00CC59E2"/>
    <w:rsid w:val="00CD6A62"/>
    <w:rsid w:val="00CE00C1"/>
    <w:rsid w:val="00CE56F3"/>
    <w:rsid w:val="00CE5B83"/>
    <w:rsid w:val="00CF28BB"/>
    <w:rsid w:val="00CF4056"/>
    <w:rsid w:val="00CF45B0"/>
    <w:rsid w:val="00D03998"/>
    <w:rsid w:val="00D05453"/>
    <w:rsid w:val="00D06BD2"/>
    <w:rsid w:val="00D10BE4"/>
    <w:rsid w:val="00D1261F"/>
    <w:rsid w:val="00D137D6"/>
    <w:rsid w:val="00D22001"/>
    <w:rsid w:val="00D22F54"/>
    <w:rsid w:val="00D237EC"/>
    <w:rsid w:val="00D24E91"/>
    <w:rsid w:val="00D34430"/>
    <w:rsid w:val="00D36236"/>
    <w:rsid w:val="00D372C9"/>
    <w:rsid w:val="00D40CC9"/>
    <w:rsid w:val="00D40D3A"/>
    <w:rsid w:val="00D410CC"/>
    <w:rsid w:val="00D50A5C"/>
    <w:rsid w:val="00D542FD"/>
    <w:rsid w:val="00D5562B"/>
    <w:rsid w:val="00D55909"/>
    <w:rsid w:val="00D56147"/>
    <w:rsid w:val="00D60A31"/>
    <w:rsid w:val="00D636F9"/>
    <w:rsid w:val="00D720B6"/>
    <w:rsid w:val="00D72F2E"/>
    <w:rsid w:val="00D73150"/>
    <w:rsid w:val="00D776A5"/>
    <w:rsid w:val="00D77A74"/>
    <w:rsid w:val="00D871C8"/>
    <w:rsid w:val="00D91524"/>
    <w:rsid w:val="00DA6BBA"/>
    <w:rsid w:val="00DA73A1"/>
    <w:rsid w:val="00DA7A77"/>
    <w:rsid w:val="00DB7125"/>
    <w:rsid w:val="00DD548B"/>
    <w:rsid w:val="00DD5B70"/>
    <w:rsid w:val="00DD6500"/>
    <w:rsid w:val="00DE0DD2"/>
    <w:rsid w:val="00DE5627"/>
    <w:rsid w:val="00DE58E8"/>
    <w:rsid w:val="00DE5E96"/>
    <w:rsid w:val="00DE7079"/>
    <w:rsid w:val="00DE7A6C"/>
    <w:rsid w:val="00DF2025"/>
    <w:rsid w:val="00DF4718"/>
    <w:rsid w:val="00DF5A41"/>
    <w:rsid w:val="00E00BA1"/>
    <w:rsid w:val="00E02640"/>
    <w:rsid w:val="00E02A64"/>
    <w:rsid w:val="00E10490"/>
    <w:rsid w:val="00E10BAA"/>
    <w:rsid w:val="00E11FB8"/>
    <w:rsid w:val="00E149D9"/>
    <w:rsid w:val="00E14D2C"/>
    <w:rsid w:val="00E14F82"/>
    <w:rsid w:val="00E20903"/>
    <w:rsid w:val="00E21095"/>
    <w:rsid w:val="00E23B7B"/>
    <w:rsid w:val="00E2608A"/>
    <w:rsid w:val="00E3222F"/>
    <w:rsid w:val="00E3685D"/>
    <w:rsid w:val="00E4774C"/>
    <w:rsid w:val="00E477C7"/>
    <w:rsid w:val="00E53257"/>
    <w:rsid w:val="00E545E1"/>
    <w:rsid w:val="00E54BFD"/>
    <w:rsid w:val="00E55948"/>
    <w:rsid w:val="00E570A6"/>
    <w:rsid w:val="00E60E4F"/>
    <w:rsid w:val="00E63059"/>
    <w:rsid w:val="00E64A99"/>
    <w:rsid w:val="00E71F00"/>
    <w:rsid w:val="00E72574"/>
    <w:rsid w:val="00E83551"/>
    <w:rsid w:val="00E83865"/>
    <w:rsid w:val="00E8599D"/>
    <w:rsid w:val="00E92432"/>
    <w:rsid w:val="00EA3A68"/>
    <w:rsid w:val="00EB03CD"/>
    <w:rsid w:val="00EB12A2"/>
    <w:rsid w:val="00EB2C6A"/>
    <w:rsid w:val="00EC6752"/>
    <w:rsid w:val="00ED4BA2"/>
    <w:rsid w:val="00EE0219"/>
    <w:rsid w:val="00EE03AE"/>
    <w:rsid w:val="00EE264F"/>
    <w:rsid w:val="00EF22EF"/>
    <w:rsid w:val="00EF35EB"/>
    <w:rsid w:val="00F00526"/>
    <w:rsid w:val="00F006B4"/>
    <w:rsid w:val="00F025A8"/>
    <w:rsid w:val="00F03230"/>
    <w:rsid w:val="00F10775"/>
    <w:rsid w:val="00F216AE"/>
    <w:rsid w:val="00F2250C"/>
    <w:rsid w:val="00F22C93"/>
    <w:rsid w:val="00F22CBD"/>
    <w:rsid w:val="00F22F9A"/>
    <w:rsid w:val="00F246BC"/>
    <w:rsid w:val="00F26506"/>
    <w:rsid w:val="00F32A98"/>
    <w:rsid w:val="00F35CE0"/>
    <w:rsid w:val="00F3630F"/>
    <w:rsid w:val="00F41D68"/>
    <w:rsid w:val="00F44879"/>
    <w:rsid w:val="00F44E83"/>
    <w:rsid w:val="00F453AB"/>
    <w:rsid w:val="00F4780E"/>
    <w:rsid w:val="00F51EDF"/>
    <w:rsid w:val="00F528D5"/>
    <w:rsid w:val="00F5794A"/>
    <w:rsid w:val="00F60477"/>
    <w:rsid w:val="00F60A91"/>
    <w:rsid w:val="00F618D6"/>
    <w:rsid w:val="00F67DCF"/>
    <w:rsid w:val="00F74DFD"/>
    <w:rsid w:val="00F75F80"/>
    <w:rsid w:val="00F806B2"/>
    <w:rsid w:val="00F81BDB"/>
    <w:rsid w:val="00F873EF"/>
    <w:rsid w:val="00FA18FF"/>
    <w:rsid w:val="00FA1BD9"/>
    <w:rsid w:val="00FA2AB8"/>
    <w:rsid w:val="00FB1759"/>
    <w:rsid w:val="00FB398D"/>
    <w:rsid w:val="00FC0FCB"/>
    <w:rsid w:val="00FC165D"/>
    <w:rsid w:val="00FC31A7"/>
    <w:rsid w:val="00FD0FF0"/>
    <w:rsid w:val="00FE1D03"/>
    <w:rsid w:val="00FE2390"/>
    <w:rsid w:val="00FE2826"/>
    <w:rsid w:val="00FE40DC"/>
    <w:rsid w:val="00FE4A8B"/>
    <w:rsid w:val="00FE4C19"/>
    <w:rsid w:val="00FE5CD7"/>
    <w:rsid w:val="00FF084C"/>
    <w:rsid w:val="00FF1D62"/>
    <w:rsid w:val="00FF3DBE"/>
    <w:rsid w:val="00FF4671"/>
    <w:rsid w:val="00FF5BAD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B7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23B7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23B7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23B7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23B7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23B7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23B7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23B7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23B7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23B7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23B7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23B7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23B7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23B7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23B7B"/>
    <w:rPr>
      <w:noProof w:val="0"/>
      <w:snapToGrid w:val="0"/>
    </w:rPr>
  </w:style>
  <w:style w:type="paragraph" w:styleId="BlockText">
    <w:name w:val="Block Text"/>
    <w:basedOn w:val="Normal"/>
    <w:semiHidden/>
    <w:rsid w:val="00E23B7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23B7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23B7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23B7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23B7B"/>
  </w:style>
  <w:style w:type="character" w:styleId="EndnoteReference">
    <w:name w:val="endnote reference"/>
    <w:basedOn w:val="DefaultParagraphFont"/>
    <w:semiHidden/>
    <w:rsid w:val="00E23B7B"/>
    <w:rPr>
      <w:vertAlign w:val="superscript"/>
    </w:rPr>
  </w:style>
  <w:style w:type="paragraph" w:styleId="BodyTextIndent">
    <w:name w:val="Body Text Indent"/>
    <w:basedOn w:val="Normal"/>
    <w:semiHidden/>
    <w:rsid w:val="00E23B7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23B7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23B7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23B7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23B7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23B7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23B7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23B7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23B7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23B7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23B7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23B7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23B7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23B7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23B7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23B7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23B7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23B7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23B7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23B7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23B7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23B7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23B7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23B7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23B7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23B7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23B7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23B7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23B7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23B7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F2F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E54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34041844072662"/>
          <c:y val="4.0788135303162068E-2"/>
          <c:w val="0.84682595303708086"/>
          <c:h val="0.69381107491859983"/>
        </c:manualLayout>
      </c:layout>
      <c:lineChart>
        <c:grouping val="standard"/>
        <c:ser>
          <c:idx val="1"/>
          <c:order val="0"/>
          <c:spPr>
            <a:ln w="38004">
              <a:solidFill>
                <a:srgbClr val="3366FF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3366FF"/>
              </a:solidFill>
              <a:ln>
                <a:solidFill>
                  <a:srgbClr val="3366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1242619184054899E-2"/>
                  <c:y val="4.5362618671725627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5.782178200743153E-2"/>
                  <c:y val="-5.5925561388159815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6.4285912859229993E-2"/>
                  <c:y val="6.6723228968013054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5.0289220016468981E-2"/>
                  <c:y val="-4.6625861197073376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4793805819393855E-2"/>
                  <c:y val="-4.3437591134441594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9.0804374516054318E-2"/>
                  <c:y val="5.7481338644690932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6.2277611131668138E-2"/>
                  <c:y val="6.038379349928602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2.3700703582294952E-2"/>
                  <c:y val="4.9928550597841966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8.2757112852392234E-2"/>
                  <c:y val="-4.2196704578594389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5.4288675170216932E-2"/>
                  <c:y val="-4.6234758629853892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5.2445789969008123E-2"/>
                  <c:y val="4.783144701128042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6.3942827082829222E-3"/>
                  <c:y val="-6.0188801705357384E-2"/>
                </c:manualLayout>
              </c:layout>
              <c:dLblPos val="r"/>
              <c:showVal val="1"/>
            </c:dLbl>
            <c:spPr>
              <a:noFill/>
              <a:ln w="25336">
                <a:noFill/>
              </a:ln>
            </c:spPr>
            <c:showVal val="1"/>
          </c:dLbls>
          <c:cat>
            <c:strRef>
              <c:f>Sheet1!$B$1:$M$1</c:f>
              <c:strCache>
                <c:ptCount val="12"/>
                <c:pt idx="0">
                  <c:v>كانون الثاني Jan</c:v>
                </c:pt>
                <c:pt idx="1">
                  <c:v>شباط Feb</c:v>
                </c:pt>
                <c:pt idx="2">
                  <c:v>آذار Mar</c:v>
                </c:pt>
                <c:pt idx="3">
                  <c:v>نيسان Apr</c:v>
                </c:pt>
                <c:pt idx="4">
                  <c:v>أيار May</c:v>
                </c:pt>
                <c:pt idx="5">
                  <c:v>حزيران Jun</c:v>
                </c:pt>
                <c:pt idx="6">
                  <c:v>تموز   Jul  </c:v>
                </c:pt>
                <c:pt idx="7">
                  <c:v>آب    Aug</c:v>
                </c:pt>
                <c:pt idx="8">
                  <c:v>أيلول Sep</c:v>
                </c:pt>
                <c:pt idx="9">
                  <c:v>تشرين أول   Oct</c:v>
                </c:pt>
                <c:pt idx="10">
                  <c:v>تشرين ثاني Nov</c:v>
                </c:pt>
                <c:pt idx="11">
                  <c:v>كانون أول  Dec</c:v>
                </c:pt>
              </c:strCache>
            </c:strRef>
          </c:cat>
          <c:val>
            <c:numRef>
              <c:f>Sheet1!$B$2:$M$2</c:f>
              <c:numCache>
                <c:formatCode>0.00</c:formatCode>
                <c:ptCount val="12"/>
                <c:pt idx="0">
                  <c:v>115.23204230533415</c:v>
                </c:pt>
                <c:pt idx="1">
                  <c:v>115.63838938091766</c:v>
                </c:pt>
                <c:pt idx="2">
                  <c:v>114.83174524127369</c:v>
                </c:pt>
                <c:pt idx="3">
                  <c:v>115.52735736625051</c:v>
                </c:pt>
                <c:pt idx="4">
                  <c:v>115.33153612455691</c:v>
                </c:pt>
                <c:pt idx="5">
                  <c:v>114.99921244131789</c:v>
                </c:pt>
                <c:pt idx="6">
                  <c:v>114.85381803904406</c:v>
                </c:pt>
                <c:pt idx="7">
                  <c:v>115.39058479467634</c:v>
                </c:pt>
                <c:pt idx="8">
                  <c:v>115.71394353137602</c:v>
                </c:pt>
                <c:pt idx="9">
                  <c:v>115.80622558272435</c:v>
                </c:pt>
                <c:pt idx="10">
                  <c:v>115.62438653981408</c:v>
                </c:pt>
                <c:pt idx="11">
                  <c:v>115.69957573753418</c:v>
                </c:pt>
              </c:numCache>
            </c:numRef>
          </c:val>
          <c:smooth val="1"/>
        </c:ser>
        <c:marker val="1"/>
        <c:axId val="93799552"/>
        <c:axId val="93801472"/>
      </c:lineChart>
      <c:catAx>
        <c:axId val="93799552"/>
        <c:scaling>
          <c:orientation val="minMax"/>
        </c:scaling>
        <c:axPos val="b"/>
        <c:title>
          <c:tx>
            <c:rich>
              <a:bodyPr rot="0" vert="horz"/>
              <a:lstStyle/>
              <a:p>
                <a:pPr>
                  <a:defRPr b="1"/>
                </a:pPr>
                <a:r>
                  <a:rPr lang="ar-SA" b="1"/>
                  <a:t>الشهر  </a:t>
                </a:r>
                <a:r>
                  <a:rPr lang="en-US" b="1"/>
                  <a:t>Month</a:t>
                </a:r>
              </a:p>
            </c:rich>
          </c:tx>
          <c:layout>
            <c:manualLayout>
              <c:xMode val="edge"/>
              <c:yMode val="edge"/>
              <c:x val="0.48289243871967641"/>
              <c:y val="0.91567826869161284"/>
            </c:manualLayout>
          </c:layout>
          <c:spPr>
            <a:noFill/>
            <a:ln w="25336">
              <a:noFill/>
            </a:ln>
          </c:spPr>
        </c:title>
        <c:numFmt formatCode="General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 anchor="t" anchorCtr="1"/>
          <a:lstStyle/>
          <a:p>
            <a:pPr>
              <a:defRPr sz="800"/>
            </a:pPr>
            <a:endParaRPr lang="ar-SA"/>
          </a:p>
        </c:txPr>
        <c:crossAx val="93801472"/>
        <c:crosses val="autoZero"/>
        <c:auto val="1"/>
        <c:lblAlgn val="ctr"/>
        <c:lblOffset val="100"/>
        <c:tickLblSkip val="1"/>
        <c:tickMarkSkip val="1"/>
      </c:catAx>
      <c:valAx>
        <c:axId val="93801472"/>
        <c:scaling>
          <c:orientation val="minMax"/>
          <c:max val="117"/>
          <c:min val="114"/>
        </c:scaling>
        <c:axPos val="l"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ar-SA" b="1"/>
                  <a:t>الرقم القياسي للأسعار  </a:t>
                </a:r>
                <a:r>
                  <a:rPr lang="en-US" b="1"/>
                  <a:t>Price Index Number</a:t>
                </a:r>
              </a:p>
            </c:rich>
          </c:tx>
          <c:layout>
            <c:manualLayout>
              <c:xMode val="edge"/>
              <c:yMode val="edge"/>
              <c:x val="4.0918541875419184E-3"/>
              <c:y val="8.8769896033371751E-2"/>
            </c:manualLayout>
          </c:layout>
          <c:spPr>
            <a:noFill/>
            <a:ln w="25336">
              <a:noFill/>
            </a:ln>
          </c:spPr>
        </c:title>
        <c:numFmt formatCode="0.00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3799552"/>
        <c:crosses val="autoZero"/>
        <c:crossBetween val="between"/>
        <c:majorUnit val="0.5"/>
        <c:minorUnit val="0.5"/>
      </c:valAx>
      <c:spPr>
        <a:noFill/>
        <a:ln w="25336">
          <a:noFill/>
        </a:ln>
      </c:spPr>
    </c:plotArea>
    <c:plotVisOnly val="1"/>
    <c:dispBlanksAs val="gap"/>
  </c:chart>
  <c:spPr>
    <a:noFill/>
    <a:ln w="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E87D7-8FA1-49E7-9BD5-523A43E95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468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yashqar</cp:lastModifiedBy>
  <cp:revision>157</cp:revision>
  <cp:lastPrinted>2018-07-18T07:58:00Z</cp:lastPrinted>
  <dcterms:created xsi:type="dcterms:W3CDTF">2013-05-22T06:23:00Z</dcterms:created>
  <dcterms:modified xsi:type="dcterms:W3CDTF">2018-07-29T08:25:00Z</dcterms:modified>
</cp:coreProperties>
</file>